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AB" w:rsidRPr="00285FA2" w:rsidRDefault="00E170AB" w:rsidP="00E170AB">
      <w:pPr>
        <w:spacing w:after="0" w:line="360" w:lineRule="exact"/>
        <w:jc w:val="center"/>
        <w:rPr>
          <w:rFonts w:eastAsia="Times New Roman"/>
          <w:b/>
          <w:sz w:val="26"/>
          <w:szCs w:val="26"/>
          <w:lang w:val="nl-NL"/>
        </w:rPr>
      </w:pPr>
      <w:r w:rsidRPr="00285FA2">
        <w:rPr>
          <w:rFonts w:eastAsia="Times New Roman"/>
          <w:b/>
          <w:sz w:val="26"/>
          <w:szCs w:val="26"/>
          <w:lang w:val="nl-NL"/>
        </w:rPr>
        <w:t xml:space="preserve">QUYẾT ĐỊNH </w:t>
      </w:r>
    </w:p>
    <w:p w:rsidR="00E170AB" w:rsidRPr="00285FA2" w:rsidRDefault="00E170AB" w:rsidP="00E170AB">
      <w:pPr>
        <w:spacing w:after="0" w:line="360" w:lineRule="exact"/>
        <w:jc w:val="center"/>
        <w:rPr>
          <w:rFonts w:eastAsia="Times New Roman"/>
          <w:b/>
          <w:sz w:val="26"/>
          <w:szCs w:val="26"/>
          <w:lang w:val="nl-NL"/>
        </w:rPr>
      </w:pPr>
      <w:r w:rsidRPr="00285FA2">
        <w:rPr>
          <w:rFonts w:eastAsia="Times New Roman"/>
          <w:b/>
          <w:sz w:val="26"/>
          <w:szCs w:val="26"/>
          <w:lang w:val="nl-NL"/>
        </w:rPr>
        <w:t>SỐ 1424/QĐ-TTG, NGÀY 31 THÁNG 10 NĂM 2006 CỦA THỦ TƯỚNG CHÍNH PHỦ</w:t>
      </w:r>
    </w:p>
    <w:p w:rsidR="00E170AB" w:rsidRPr="00285FA2" w:rsidRDefault="00E170AB" w:rsidP="00E170AB">
      <w:pPr>
        <w:spacing w:after="0" w:line="360" w:lineRule="exact"/>
        <w:jc w:val="center"/>
        <w:rPr>
          <w:rFonts w:eastAsia="Times New Roman"/>
          <w:b/>
          <w:bCs/>
          <w:sz w:val="24"/>
          <w:szCs w:val="24"/>
          <w:lang w:val="nl-NL"/>
        </w:rPr>
      </w:pPr>
      <w:r w:rsidRPr="00285FA2">
        <w:rPr>
          <w:rFonts w:eastAsia="Times New Roman"/>
          <w:b/>
          <w:bCs/>
          <w:sz w:val="24"/>
          <w:szCs w:val="24"/>
          <w:lang w:val="nl-NL"/>
        </w:rPr>
        <w:t xml:space="preserve">về việc thành lập Cục Chống tham nhũng </w:t>
      </w:r>
    </w:p>
    <w:p w:rsidR="00E170AB" w:rsidRPr="00285FA2" w:rsidRDefault="00E170AB" w:rsidP="00E170AB">
      <w:pPr>
        <w:spacing w:after="0" w:line="360" w:lineRule="exact"/>
        <w:jc w:val="center"/>
        <w:rPr>
          <w:rFonts w:eastAsia="Times New Roman"/>
          <w:b/>
          <w:bCs/>
          <w:sz w:val="24"/>
          <w:szCs w:val="24"/>
          <w:lang w:val="nl-NL"/>
        </w:rPr>
      </w:pPr>
      <w:r w:rsidRPr="00285FA2">
        <w:rPr>
          <w:rFonts w:eastAsia="Times New Roman"/>
          <w:b/>
          <w:bCs/>
          <w:sz w:val="24"/>
          <w:szCs w:val="24"/>
          <w:lang w:val="nl-NL"/>
        </w:rPr>
        <w:t>thuộc Thanh tra Chính phủ</w:t>
      </w:r>
    </w:p>
    <w:p w:rsidR="00E170AB" w:rsidRPr="00285FA2" w:rsidRDefault="00E170AB" w:rsidP="00E170AB">
      <w:pPr>
        <w:spacing w:after="0" w:line="300" w:lineRule="exact"/>
        <w:ind w:left="360"/>
        <w:jc w:val="center"/>
        <w:rPr>
          <w:rFonts w:eastAsia="Times New Roman"/>
          <w:b/>
          <w:sz w:val="24"/>
          <w:szCs w:val="24"/>
          <w:lang w:val="nl-NL"/>
        </w:rPr>
      </w:pPr>
    </w:p>
    <w:p w:rsidR="00E170AB" w:rsidRPr="00285FA2" w:rsidRDefault="00E170AB" w:rsidP="00E170AB">
      <w:pPr>
        <w:spacing w:after="0" w:line="300" w:lineRule="exact"/>
        <w:jc w:val="center"/>
        <w:rPr>
          <w:rFonts w:eastAsia="Times New Roman"/>
          <w:b/>
          <w:sz w:val="24"/>
          <w:szCs w:val="24"/>
          <w:lang w:val="nl-NL"/>
        </w:rPr>
      </w:pPr>
      <w:r w:rsidRPr="00285FA2">
        <w:rPr>
          <w:rFonts w:eastAsia="Times New Roman"/>
          <w:b/>
          <w:sz w:val="24"/>
          <w:szCs w:val="24"/>
          <w:lang w:val="nl-NL"/>
        </w:rPr>
        <w:t>THỦ TƯỚNG CHÍNH PHỦ</w:t>
      </w:r>
    </w:p>
    <w:p w:rsidR="00E170AB" w:rsidRPr="00285FA2" w:rsidRDefault="00E170AB" w:rsidP="00E170AB">
      <w:pPr>
        <w:spacing w:after="0" w:line="300" w:lineRule="exact"/>
        <w:ind w:left="360" w:firstLine="432"/>
        <w:jc w:val="center"/>
        <w:rPr>
          <w:rFonts w:eastAsia="Times New Roman"/>
          <w:b/>
          <w:sz w:val="24"/>
          <w:szCs w:val="24"/>
          <w:lang w:val="nl-NL"/>
        </w:rPr>
      </w:pPr>
    </w:p>
    <w:p w:rsidR="00E170AB" w:rsidRPr="00285FA2" w:rsidRDefault="00E170AB" w:rsidP="00E170AB">
      <w:pPr>
        <w:spacing w:after="0" w:line="300" w:lineRule="exact"/>
        <w:ind w:firstLine="432"/>
        <w:jc w:val="both"/>
        <w:rPr>
          <w:rFonts w:eastAsia="Times New Roman"/>
          <w:i/>
          <w:spacing w:val="-2"/>
          <w:sz w:val="24"/>
          <w:szCs w:val="24"/>
          <w:lang w:val="nl-NL"/>
        </w:rPr>
      </w:pPr>
      <w:r w:rsidRPr="00285FA2">
        <w:rPr>
          <w:rFonts w:eastAsia="Times New Roman"/>
          <w:i/>
          <w:spacing w:val="-2"/>
          <w:sz w:val="24"/>
          <w:szCs w:val="24"/>
          <w:lang w:val="nl-NL"/>
        </w:rPr>
        <w:t>Căn cứ Luật Tổ chức Chính phủ ngày 25 tháng 12 năm 2001;</w:t>
      </w:r>
    </w:p>
    <w:p w:rsidR="00E170AB" w:rsidRPr="00285FA2" w:rsidRDefault="00E170AB" w:rsidP="00E170AB">
      <w:pPr>
        <w:spacing w:after="0" w:line="300" w:lineRule="exact"/>
        <w:ind w:firstLine="432"/>
        <w:jc w:val="both"/>
        <w:rPr>
          <w:rFonts w:eastAsia="Times New Roman"/>
          <w:i/>
          <w:sz w:val="24"/>
          <w:szCs w:val="24"/>
          <w:lang w:val="nl-NL"/>
        </w:rPr>
      </w:pPr>
      <w:r w:rsidRPr="00285FA2">
        <w:rPr>
          <w:rFonts w:eastAsia="Times New Roman"/>
          <w:i/>
          <w:sz w:val="24"/>
          <w:szCs w:val="24"/>
          <w:lang w:val="nl-NL"/>
        </w:rPr>
        <w:t>Căn cứ Luật Phòng, chống tham nhũng ngày 29 tháng 11 năm 2005;</w:t>
      </w:r>
    </w:p>
    <w:p w:rsidR="00E170AB" w:rsidRPr="00285FA2" w:rsidRDefault="00E170AB" w:rsidP="00E170AB">
      <w:pPr>
        <w:spacing w:after="0" w:line="300" w:lineRule="exact"/>
        <w:ind w:firstLine="432"/>
        <w:jc w:val="both"/>
        <w:rPr>
          <w:rFonts w:eastAsia="Times New Roman"/>
          <w:i/>
          <w:sz w:val="24"/>
          <w:szCs w:val="24"/>
          <w:lang w:val="nl-NL"/>
        </w:rPr>
      </w:pPr>
      <w:r w:rsidRPr="00285FA2">
        <w:rPr>
          <w:rFonts w:eastAsia="Times New Roman"/>
          <w:i/>
          <w:sz w:val="24"/>
          <w:szCs w:val="24"/>
          <w:lang w:val="nl-NL"/>
        </w:rPr>
        <w:t>Căn cứ Luật Thanh tra ngày 15 tháng 06 năm 2004;</w:t>
      </w:r>
    </w:p>
    <w:p w:rsidR="00E170AB" w:rsidRPr="00285FA2" w:rsidRDefault="00E170AB" w:rsidP="00E170AB">
      <w:pPr>
        <w:spacing w:after="0" w:line="320" w:lineRule="exact"/>
        <w:ind w:firstLine="432"/>
        <w:jc w:val="both"/>
        <w:rPr>
          <w:rFonts w:eastAsia="Times New Roman"/>
          <w:i/>
          <w:sz w:val="24"/>
          <w:szCs w:val="24"/>
          <w:lang w:val="nl-NL"/>
        </w:rPr>
      </w:pPr>
      <w:r w:rsidRPr="00285FA2">
        <w:rPr>
          <w:rFonts w:eastAsia="Times New Roman"/>
          <w:i/>
          <w:sz w:val="24"/>
          <w:szCs w:val="24"/>
          <w:lang w:val="nl-NL"/>
        </w:rPr>
        <w:t>Căn cứ Luật Khiếu nại, tố cáo ngày 25 tháng 11 năm 1998 và Luật sửa đổi</w:t>
      </w:r>
      <w:r w:rsidRPr="00285FA2">
        <w:rPr>
          <w:rFonts w:eastAsia="Times New Roman"/>
          <w:i/>
          <w:spacing w:val="-4"/>
          <w:sz w:val="24"/>
          <w:szCs w:val="24"/>
          <w:lang w:val="nl-NL"/>
        </w:rPr>
        <w:t>, bổ sung một số điều của Luật Khiếu nại, tố cáo ngày 15 tháng 06 năm 2004;</w:t>
      </w:r>
      <w:r w:rsidRPr="00285FA2">
        <w:rPr>
          <w:rFonts w:eastAsia="Times New Roman"/>
          <w:i/>
          <w:sz w:val="24"/>
          <w:szCs w:val="24"/>
          <w:lang w:val="nl-NL"/>
        </w:rPr>
        <w:t xml:space="preserve"> </w:t>
      </w:r>
      <w:r w:rsidRPr="00285FA2">
        <w:rPr>
          <w:rFonts w:eastAsia="Times New Roman"/>
          <w:i/>
          <w:spacing w:val="-6"/>
          <w:sz w:val="24"/>
          <w:szCs w:val="24"/>
          <w:lang w:val="nl-NL"/>
        </w:rPr>
        <w:t>Luật sửa đổi, bổ sung một số điều của Luật Khiếu nại, tố cáo ngày 29 tháng 11 năm 2005</w:t>
      </w:r>
      <w:r w:rsidRPr="00285FA2">
        <w:rPr>
          <w:rFonts w:eastAsia="Times New Roman"/>
          <w:i/>
          <w:sz w:val="24"/>
          <w:szCs w:val="24"/>
          <w:lang w:val="nl-NL"/>
        </w:rPr>
        <w:t>;</w:t>
      </w:r>
    </w:p>
    <w:p w:rsidR="00E170AB" w:rsidRPr="00285FA2" w:rsidRDefault="00E170AB" w:rsidP="00E170AB">
      <w:pPr>
        <w:spacing w:after="0" w:line="320" w:lineRule="exact"/>
        <w:ind w:firstLine="432"/>
        <w:jc w:val="both"/>
        <w:rPr>
          <w:rFonts w:eastAsia="Times New Roman"/>
          <w:i/>
          <w:sz w:val="24"/>
          <w:szCs w:val="24"/>
          <w:lang w:val="nl-NL"/>
        </w:rPr>
      </w:pPr>
      <w:r w:rsidRPr="00285FA2">
        <w:rPr>
          <w:rFonts w:eastAsia="Times New Roman"/>
          <w:i/>
          <w:sz w:val="24"/>
          <w:szCs w:val="24"/>
          <w:lang w:val="nl-NL"/>
        </w:rPr>
        <w:t>Căn cứ Nghị định số 86/2002/NĐ-CP, ngày 05 tháng 11 năm 2002 của Chính phủ quy định chức năng, nhiệm vụ, quyền hạn và cơ cấu tổ chức của Bộ, cơ quan ngang Bộ;</w:t>
      </w:r>
    </w:p>
    <w:p w:rsidR="00E170AB" w:rsidRPr="00285FA2" w:rsidRDefault="00E170AB" w:rsidP="00E170AB">
      <w:pPr>
        <w:spacing w:after="0" w:line="320" w:lineRule="exact"/>
        <w:ind w:firstLine="432"/>
        <w:jc w:val="both"/>
        <w:rPr>
          <w:rFonts w:eastAsia="Times New Roman"/>
          <w:i/>
          <w:sz w:val="24"/>
          <w:szCs w:val="24"/>
          <w:lang w:val="nl-NL"/>
        </w:rPr>
      </w:pPr>
      <w:r w:rsidRPr="00285FA2">
        <w:rPr>
          <w:rFonts w:eastAsia="Times New Roman"/>
          <w:i/>
          <w:sz w:val="24"/>
          <w:szCs w:val="24"/>
          <w:lang w:val="nl-NL"/>
        </w:rPr>
        <w:t>Xét đề nghị của Tổng Thanh tra và Bộ trưởng Bộ Nội vụ,</w:t>
      </w:r>
    </w:p>
    <w:p w:rsidR="00E170AB" w:rsidRPr="00285FA2" w:rsidRDefault="00E170AB" w:rsidP="00E170AB">
      <w:pPr>
        <w:spacing w:after="0" w:line="300" w:lineRule="exact"/>
        <w:ind w:left="360" w:firstLine="432"/>
        <w:jc w:val="center"/>
        <w:rPr>
          <w:rFonts w:eastAsia="Times New Roman"/>
          <w:b/>
          <w:bCs/>
          <w:sz w:val="24"/>
          <w:szCs w:val="24"/>
          <w:lang w:val="nl-NL"/>
        </w:rPr>
      </w:pPr>
    </w:p>
    <w:p w:rsidR="00E170AB" w:rsidRPr="00285FA2" w:rsidRDefault="00E170AB" w:rsidP="00E170AB">
      <w:pPr>
        <w:spacing w:after="0" w:line="300" w:lineRule="exact"/>
        <w:jc w:val="center"/>
        <w:rPr>
          <w:rFonts w:eastAsia="Times New Roman"/>
          <w:b/>
          <w:bCs/>
          <w:sz w:val="24"/>
          <w:szCs w:val="24"/>
          <w:lang w:val="nl-NL"/>
        </w:rPr>
      </w:pPr>
      <w:r w:rsidRPr="00285FA2">
        <w:rPr>
          <w:rFonts w:eastAsia="Times New Roman"/>
          <w:b/>
          <w:bCs/>
          <w:sz w:val="24"/>
          <w:szCs w:val="24"/>
          <w:lang w:val="nl-NL"/>
        </w:rPr>
        <w:t>QUYẾT ĐỊNH:</w:t>
      </w:r>
    </w:p>
    <w:p w:rsidR="00E170AB" w:rsidRPr="00285FA2" w:rsidRDefault="00E170AB" w:rsidP="00E170AB">
      <w:pPr>
        <w:spacing w:after="0" w:line="300" w:lineRule="exact"/>
        <w:ind w:firstLine="432"/>
        <w:jc w:val="center"/>
        <w:rPr>
          <w:rFonts w:eastAsia="Times New Roman"/>
          <w:b/>
          <w:bCs/>
          <w:sz w:val="24"/>
          <w:szCs w:val="24"/>
          <w:lang w:val="nl-NL"/>
        </w:rPr>
      </w:pPr>
    </w:p>
    <w:p w:rsidR="00E170AB" w:rsidRPr="00285FA2" w:rsidRDefault="00E170AB" w:rsidP="00E170AB">
      <w:pPr>
        <w:spacing w:after="0" w:line="320" w:lineRule="exact"/>
        <w:ind w:firstLine="432"/>
        <w:jc w:val="both"/>
        <w:rPr>
          <w:rFonts w:eastAsia="Times New Roman"/>
          <w:sz w:val="24"/>
          <w:szCs w:val="24"/>
          <w:lang w:val="nl-NL"/>
        </w:rPr>
      </w:pPr>
      <w:r w:rsidRPr="00285FA2">
        <w:rPr>
          <w:rFonts w:eastAsia="Times New Roman"/>
          <w:b/>
          <w:bCs/>
          <w:sz w:val="24"/>
          <w:szCs w:val="24"/>
          <w:lang w:val="nl-NL"/>
        </w:rPr>
        <w:t xml:space="preserve">Điều 1. </w:t>
      </w:r>
      <w:r w:rsidRPr="00285FA2">
        <w:rPr>
          <w:rFonts w:eastAsia="Times New Roman"/>
          <w:sz w:val="24"/>
          <w:szCs w:val="24"/>
          <w:lang w:val="nl-NL"/>
        </w:rPr>
        <w:t>Thành lập Cục Chống tham nhũng thuộc Thanh tra Chính phủ để giúp Tổng Thanh tra quản lý Nhà nước về công tác phòng, chống tham nhũng; thực hiện nhiệm vụ, quyền hạn thanh tra chống tham nhũng theo thẩm quyền của Thanh tra Chính phủ.</w:t>
      </w:r>
    </w:p>
    <w:p w:rsidR="00E170AB" w:rsidRPr="00285FA2" w:rsidRDefault="00E170AB" w:rsidP="00E170AB">
      <w:pPr>
        <w:spacing w:after="0" w:line="300" w:lineRule="exact"/>
        <w:ind w:firstLine="432"/>
        <w:jc w:val="both"/>
        <w:rPr>
          <w:rFonts w:eastAsia="Times New Roman"/>
          <w:sz w:val="24"/>
          <w:szCs w:val="24"/>
          <w:lang w:val="nl-NL"/>
        </w:rPr>
      </w:pPr>
      <w:r w:rsidRPr="00285FA2">
        <w:rPr>
          <w:rFonts w:eastAsia="Times New Roman"/>
          <w:sz w:val="24"/>
          <w:szCs w:val="24"/>
          <w:lang w:val="nl-NL"/>
        </w:rPr>
        <w:t>Cục Chống tham nhũng có tư cách pháp nhân; có con dấu riêng; được mở tài khoản tại Kho bạc Nhà nước; trụ sở chính đặt tại thành phố Hà Nội.</w:t>
      </w:r>
    </w:p>
    <w:p w:rsidR="00E170AB" w:rsidRPr="00285FA2" w:rsidRDefault="00E170AB" w:rsidP="00E170AB">
      <w:pPr>
        <w:spacing w:after="0" w:line="300" w:lineRule="exact"/>
        <w:ind w:firstLine="432"/>
        <w:jc w:val="both"/>
        <w:rPr>
          <w:rFonts w:eastAsia="Times New Roman"/>
          <w:b/>
          <w:bCs/>
          <w:sz w:val="24"/>
          <w:szCs w:val="24"/>
          <w:lang w:val="nl-NL"/>
        </w:rPr>
      </w:pPr>
      <w:r w:rsidRPr="00285FA2">
        <w:rPr>
          <w:rFonts w:eastAsia="Times New Roman"/>
          <w:b/>
          <w:bCs/>
          <w:sz w:val="24"/>
          <w:szCs w:val="24"/>
          <w:lang w:val="nl-NL"/>
        </w:rPr>
        <w:t>Điều 2.</w:t>
      </w:r>
      <w:r w:rsidRPr="00285FA2">
        <w:rPr>
          <w:rFonts w:eastAsia="Times New Roman"/>
          <w:bCs/>
          <w:sz w:val="24"/>
          <w:szCs w:val="24"/>
          <w:lang w:val="nl-NL"/>
        </w:rPr>
        <w:t xml:space="preserve"> Cục Chống tham nhũng được tổ chức cấp Phòng và có Văn phòng đại diện tại thành phố Hồ Chí Minh (Văn phòng đại diện có con dấu riêng theo quy định của pháp luật). </w:t>
      </w:r>
      <w:r w:rsidRPr="00285FA2">
        <w:rPr>
          <w:rFonts w:eastAsia="Times New Roman"/>
          <w:b/>
          <w:bCs/>
          <w:sz w:val="24"/>
          <w:szCs w:val="24"/>
          <w:lang w:val="nl-NL"/>
        </w:rPr>
        <w:t xml:space="preserve">  </w:t>
      </w:r>
    </w:p>
    <w:p w:rsidR="00E170AB" w:rsidRPr="00285FA2" w:rsidRDefault="00E170AB" w:rsidP="00E170AB">
      <w:pPr>
        <w:spacing w:after="0" w:line="300" w:lineRule="exact"/>
        <w:ind w:firstLine="432"/>
        <w:jc w:val="both"/>
        <w:rPr>
          <w:rFonts w:eastAsia="Times New Roman"/>
          <w:sz w:val="24"/>
          <w:szCs w:val="24"/>
          <w:lang w:val="nl-NL"/>
        </w:rPr>
      </w:pPr>
      <w:r w:rsidRPr="00285FA2">
        <w:rPr>
          <w:rFonts w:eastAsia="Times New Roman"/>
          <w:bCs/>
          <w:sz w:val="24"/>
          <w:szCs w:val="24"/>
          <w:lang w:val="nl-NL"/>
        </w:rPr>
        <w:t xml:space="preserve">Tổng Thanh tra quy định cụ thể chức năng, nhiệm vụ, quyền hạn và cơ cấu tổ chức của </w:t>
      </w:r>
      <w:r w:rsidRPr="00285FA2">
        <w:rPr>
          <w:rFonts w:eastAsia="Times New Roman"/>
          <w:sz w:val="24"/>
          <w:szCs w:val="24"/>
          <w:lang w:val="nl-NL"/>
        </w:rPr>
        <w:t xml:space="preserve">Cục Chống tham nhũng. </w:t>
      </w:r>
    </w:p>
    <w:p w:rsidR="00E170AB" w:rsidRPr="00285FA2" w:rsidRDefault="00E170AB" w:rsidP="00E170AB">
      <w:pPr>
        <w:spacing w:after="0" w:line="300" w:lineRule="exact"/>
        <w:ind w:firstLine="432"/>
        <w:jc w:val="both"/>
        <w:rPr>
          <w:rFonts w:eastAsia="Times New Roman"/>
          <w:bCs/>
          <w:sz w:val="24"/>
          <w:szCs w:val="24"/>
          <w:lang w:val="nl-NL"/>
        </w:rPr>
      </w:pPr>
      <w:r w:rsidRPr="00285FA2">
        <w:rPr>
          <w:rFonts w:eastAsia="Times New Roman"/>
          <w:b/>
          <w:bCs/>
          <w:sz w:val="24"/>
          <w:szCs w:val="24"/>
          <w:lang w:val="nl-NL"/>
        </w:rPr>
        <w:t xml:space="preserve">Điều 3. </w:t>
      </w:r>
      <w:r w:rsidRPr="00285FA2">
        <w:rPr>
          <w:rFonts w:eastAsia="Times New Roman"/>
          <w:bCs/>
          <w:sz w:val="24"/>
          <w:szCs w:val="24"/>
          <w:lang w:val="nl-NL"/>
        </w:rPr>
        <w:t>Quyết định này có hiệu lực thi hành kể từ ngày ký.</w:t>
      </w:r>
    </w:p>
    <w:p w:rsidR="00E170AB" w:rsidRPr="00285FA2" w:rsidRDefault="00E170AB" w:rsidP="00E170AB">
      <w:pPr>
        <w:spacing w:after="0" w:line="300" w:lineRule="exact"/>
        <w:ind w:firstLine="432"/>
        <w:jc w:val="both"/>
        <w:rPr>
          <w:rFonts w:eastAsia="Times New Roman"/>
          <w:spacing w:val="2"/>
          <w:sz w:val="24"/>
          <w:szCs w:val="24"/>
          <w:lang w:val="nl-NL"/>
        </w:rPr>
      </w:pPr>
      <w:r w:rsidRPr="00285FA2">
        <w:rPr>
          <w:rFonts w:eastAsia="Times New Roman"/>
          <w:spacing w:val="2"/>
          <w:sz w:val="24"/>
          <w:szCs w:val="24"/>
          <w:lang w:val="nl-NL"/>
        </w:rPr>
        <w:t xml:space="preserve">Các Bộ trưởng, Thủ trưởng cơ quan ngang Bộ, Thủ trưởng cơ quan thuộc Chính phủ, Chủ tịch Ủy ban nhân dân tỉnh, thành phố trực thuộc Trung ương chịu trách nhiệm thi hành Quyết định này. </w:t>
      </w:r>
    </w:p>
    <w:p w:rsidR="00E170AB" w:rsidRPr="00285FA2" w:rsidRDefault="00E170AB" w:rsidP="00E170AB">
      <w:pPr>
        <w:spacing w:before="240" w:after="0" w:line="300" w:lineRule="exact"/>
        <w:ind w:left="3888"/>
        <w:rPr>
          <w:rFonts w:eastAsia="Times New Roman"/>
          <w:b/>
          <w:sz w:val="24"/>
          <w:szCs w:val="24"/>
          <w:lang w:val="nl-NL"/>
        </w:rPr>
      </w:pPr>
      <w:r w:rsidRPr="00285FA2">
        <w:rPr>
          <w:rFonts w:eastAsia="Times New Roman"/>
          <w:b/>
          <w:sz w:val="24"/>
          <w:szCs w:val="24"/>
          <w:lang w:val="nl-NL"/>
        </w:rPr>
        <w:t>T/M. CHÍNH PHỦ</w:t>
      </w:r>
    </w:p>
    <w:p w:rsidR="00E170AB" w:rsidRPr="00285FA2" w:rsidRDefault="00E170AB" w:rsidP="00E170AB">
      <w:pPr>
        <w:spacing w:after="0" w:line="300" w:lineRule="exact"/>
        <w:ind w:firstLine="432"/>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Thủ tướng</w:t>
      </w:r>
    </w:p>
    <w:p w:rsidR="00E170AB" w:rsidRPr="00285FA2" w:rsidRDefault="00E170AB" w:rsidP="00E170AB">
      <w:pPr>
        <w:spacing w:before="120" w:after="0" w:line="300" w:lineRule="exact"/>
        <w:ind w:firstLine="432"/>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NGUYỄN TẤN DŨNG</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E170AB"/>
    <w:rsid w:val="00123D43"/>
    <w:rsid w:val="003505D2"/>
    <w:rsid w:val="00512589"/>
    <w:rsid w:val="00582ABF"/>
    <w:rsid w:val="00877FDD"/>
    <w:rsid w:val="00AF65FE"/>
    <w:rsid w:val="00BE73E9"/>
    <w:rsid w:val="00E170AB"/>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A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2012-05-02T11:13:00Z</dcterms:created>
  <dcterms:modified xsi:type="dcterms:W3CDTF">2012-05-02T11:13:00Z</dcterms:modified>
</cp:coreProperties>
</file>