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B3" w:rsidRPr="00285FA2" w:rsidRDefault="00CF2AB3" w:rsidP="00CF2AB3">
      <w:pPr>
        <w:spacing w:after="0" w:line="380" w:lineRule="exact"/>
        <w:jc w:val="center"/>
        <w:rPr>
          <w:rFonts w:eastAsia="Times New Roman"/>
          <w:b/>
          <w:sz w:val="26"/>
          <w:szCs w:val="26"/>
        </w:rPr>
      </w:pPr>
      <w:r w:rsidRPr="00285FA2">
        <w:rPr>
          <w:rFonts w:eastAsia="Times New Roman"/>
          <w:b/>
          <w:sz w:val="26"/>
          <w:szCs w:val="26"/>
        </w:rPr>
        <w:t xml:space="preserve">QUYẾT ĐỊNH </w:t>
      </w:r>
    </w:p>
    <w:p w:rsidR="00CF2AB3" w:rsidRPr="00285FA2" w:rsidRDefault="00CF2AB3" w:rsidP="00CF2AB3">
      <w:pPr>
        <w:spacing w:after="0" w:line="380" w:lineRule="exact"/>
        <w:jc w:val="center"/>
        <w:rPr>
          <w:rFonts w:eastAsia="Times New Roman"/>
          <w:b/>
          <w:sz w:val="26"/>
          <w:szCs w:val="26"/>
        </w:rPr>
      </w:pPr>
      <w:r w:rsidRPr="00285FA2">
        <w:rPr>
          <w:rFonts w:eastAsia="Times New Roman"/>
          <w:b/>
          <w:spacing w:val="-6"/>
          <w:sz w:val="26"/>
          <w:szCs w:val="26"/>
        </w:rPr>
        <w:t>SỐ 121/QĐ-VKSTC-V9, NGÀY 26 THÁNG 09 NĂM</w:t>
      </w:r>
      <w:r w:rsidRPr="00285FA2">
        <w:rPr>
          <w:rFonts w:eastAsia="Times New Roman"/>
          <w:b/>
          <w:sz w:val="26"/>
          <w:szCs w:val="26"/>
        </w:rPr>
        <w:t xml:space="preserve"> 2006 CỦA VIỆN TRƯỞNG VIỆN KIỂM SÁT NHÂN DÂN TỐI CAO</w:t>
      </w:r>
    </w:p>
    <w:p w:rsidR="00CF2AB3" w:rsidRPr="00285FA2" w:rsidRDefault="00CF2AB3" w:rsidP="00CF2AB3">
      <w:pPr>
        <w:spacing w:after="0" w:line="380" w:lineRule="exact"/>
        <w:jc w:val="center"/>
        <w:rPr>
          <w:rFonts w:eastAsia="Times New Roman"/>
          <w:b/>
          <w:sz w:val="24"/>
          <w:szCs w:val="24"/>
        </w:rPr>
      </w:pPr>
      <w:r w:rsidRPr="00285FA2">
        <w:rPr>
          <w:rFonts w:eastAsia="Times New Roman"/>
          <w:b/>
          <w:sz w:val="24"/>
          <w:szCs w:val="24"/>
        </w:rPr>
        <w:t xml:space="preserve">về việc thành lập một số đơn vị cấp vụ thuộc bộ máy </w:t>
      </w:r>
    </w:p>
    <w:p w:rsidR="00CF2AB3" w:rsidRPr="00285FA2" w:rsidRDefault="00CF2AB3" w:rsidP="00CF2AB3">
      <w:pPr>
        <w:spacing w:after="0" w:line="380" w:lineRule="exact"/>
        <w:jc w:val="center"/>
        <w:rPr>
          <w:rFonts w:eastAsia="Times New Roman"/>
          <w:b/>
          <w:sz w:val="24"/>
          <w:szCs w:val="24"/>
        </w:rPr>
      </w:pPr>
      <w:r w:rsidRPr="00285FA2">
        <w:rPr>
          <w:rFonts w:eastAsia="Times New Roman"/>
          <w:b/>
          <w:sz w:val="24"/>
          <w:szCs w:val="24"/>
        </w:rPr>
        <w:t>làm việc của Viện Kiểm sát nhân dân tối cao</w:t>
      </w:r>
    </w:p>
    <w:p w:rsidR="00CF2AB3" w:rsidRPr="00285FA2" w:rsidRDefault="00CF2AB3" w:rsidP="00CF2AB3">
      <w:pPr>
        <w:spacing w:before="360" w:after="0" w:line="300" w:lineRule="atLeast"/>
        <w:jc w:val="center"/>
        <w:rPr>
          <w:rFonts w:eastAsia="Times New Roman"/>
          <w:b/>
          <w:sz w:val="24"/>
          <w:szCs w:val="24"/>
        </w:rPr>
      </w:pPr>
      <w:r w:rsidRPr="00285FA2">
        <w:rPr>
          <w:rFonts w:eastAsia="Times New Roman"/>
          <w:b/>
          <w:sz w:val="24"/>
          <w:szCs w:val="24"/>
        </w:rPr>
        <w:t>VIỆN TRƯỞNG VIỆN KIỂM SÁT NHÂN DÂN TỐI CAO</w:t>
      </w:r>
    </w:p>
    <w:p w:rsidR="00CF2AB3" w:rsidRPr="00285FA2" w:rsidRDefault="00CF2AB3" w:rsidP="00CF2AB3">
      <w:pPr>
        <w:spacing w:before="360" w:after="0" w:line="300" w:lineRule="atLeast"/>
        <w:ind w:firstLine="432"/>
        <w:jc w:val="both"/>
        <w:rPr>
          <w:rFonts w:eastAsia="Times New Roman"/>
          <w:i/>
          <w:sz w:val="24"/>
          <w:szCs w:val="24"/>
        </w:rPr>
      </w:pPr>
      <w:r w:rsidRPr="00285FA2">
        <w:rPr>
          <w:rFonts w:eastAsia="Times New Roman"/>
          <w:i/>
          <w:sz w:val="24"/>
          <w:szCs w:val="24"/>
        </w:rPr>
        <w:t>Căn cứ Luật Tổ chức Viện Kiểm sát nhân dân năm 2002;</w:t>
      </w:r>
    </w:p>
    <w:p w:rsidR="00CF2AB3" w:rsidRPr="00285FA2" w:rsidRDefault="00CF2AB3" w:rsidP="00CF2AB3">
      <w:pPr>
        <w:spacing w:after="0" w:line="294" w:lineRule="atLeast"/>
        <w:ind w:firstLine="432"/>
        <w:jc w:val="both"/>
        <w:rPr>
          <w:rFonts w:eastAsia="Times New Roman"/>
          <w:i/>
          <w:sz w:val="24"/>
          <w:szCs w:val="24"/>
        </w:rPr>
      </w:pPr>
      <w:r w:rsidRPr="00285FA2">
        <w:rPr>
          <w:rFonts w:eastAsia="Times New Roman"/>
          <w:i/>
          <w:sz w:val="24"/>
          <w:szCs w:val="24"/>
        </w:rPr>
        <w:t>Căn cứ Bộ luật Tố tụng hình sự năm 2003;</w:t>
      </w:r>
    </w:p>
    <w:p w:rsidR="00CF2AB3" w:rsidRPr="00285FA2" w:rsidRDefault="00CF2AB3" w:rsidP="00CF2AB3">
      <w:pPr>
        <w:spacing w:after="0" w:line="294" w:lineRule="atLeast"/>
        <w:ind w:firstLine="432"/>
        <w:jc w:val="both"/>
        <w:rPr>
          <w:rFonts w:eastAsia="Times New Roman"/>
          <w:i/>
          <w:sz w:val="24"/>
          <w:szCs w:val="24"/>
        </w:rPr>
      </w:pPr>
      <w:r w:rsidRPr="00285FA2">
        <w:rPr>
          <w:rFonts w:eastAsia="Times New Roman"/>
          <w:i/>
          <w:sz w:val="24"/>
          <w:szCs w:val="24"/>
        </w:rPr>
        <w:t>Căn cứ Luật Phòng, chống tham nhũng năm 2005;</w:t>
      </w:r>
    </w:p>
    <w:p w:rsidR="00CF2AB3" w:rsidRPr="00285FA2" w:rsidRDefault="00CF2AB3" w:rsidP="00CF2AB3">
      <w:pPr>
        <w:spacing w:after="0" w:line="294" w:lineRule="atLeast"/>
        <w:ind w:firstLine="432"/>
        <w:jc w:val="both"/>
        <w:rPr>
          <w:rFonts w:eastAsia="Times New Roman"/>
          <w:i/>
          <w:sz w:val="24"/>
          <w:szCs w:val="24"/>
        </w:rPr>
      </w:pPr>
      <w:r w:rsidRPr="00285FA2">
        <w:rPr>
          <w:rFonts w:eastAsia="Times New Roman"/>
          <w:i/>
          <w:sz w:val="24"/>
          <w:szCs w:val="24"/>
        </w:rPr>
        <w:t>Căn cứ Nghị quyết của Ủy ban Kiểm sát Viện Kiểm sát nhân dân tối cao tại phiên họp ngày 26/7/2006 thảo luận và quyết định Đề án thành lập một số đơn vị thuộc bộ máy làm việc của Viện Kiểm sát nhân dân tối cao;</w:t>
      </w:r>
    </w:p>
    <w:p w:rsidR="00CF2AB3" w:rsidRPr="00285FA2" w:rsidRDefault="00CF2AB3" w:rsidP="00CF2AB3">
      <w:pPr>
        <w:spacing w:after="0" w:line="294" w:lineRule="atLeast"/>
        <w:ind w:firstLine="432"/>
        <w:jc w:val="both"/>
        <w:rPr>
          <w:rFonts w:eastAsia="Times New Roman"/>
          <w:i/>
          <w:sz w:val="24"/>
          <w:szCs w:val="24"/>
        </w:rPr>
      </w:pPr>
      <w:r w:rsidRPr="00285FA2">
        <w:rPr>
          <w:rFonts w:eastAsia="Times New Roman"/>
          <w:i/>
          <w:sz w:val="24"/>
          <w:szCs w:val="24"/>
        </w:rPr>
        <w:t>Xét đề nghị của</w:t>
      </w:r>
      <w:r w:rsidRPr="00285FA2">
        <w:rPr>
          <w:rFonts w:eastAsia="Times New Roman"/>
          <w:sz w:val="24"/>
          <w:szCs w:val="24"/>
        </w:rPr>
        <w:t xml:space="preserve"> </w:t>
      </w:r>
      <w:r w:rsidRPr="00285FA2">
        <w:rPr>
          <w:rFonts w:eastAsia="Times New Roman"/>
          <w:i/>
          <w:sz w:val="24"/>
          <w:szCs w:val="24"/>
        </w:rPr>
        <w:t>Vụ trưởng Vụ tổ chức cán bộ Viện Kiểm sát nhân dân tối cao,</w:t>
      </w:r>
    </w:p>
    <w:p w:rsidR="00CF2AB3" w:rsidRPr="00285FA2" w:rsidRDefault="00CF2AB3" w:rsidP="00CF2AB3">
      <w:pPr>
        <w:spacing w:before="360" w:after="0" w:line="300" w:lineRule="atLeast"/>
        <w:ind w:firstLine="432"/>
        <w:jc w:val="center"/>
        <w:rPr>
          <w:rFonts w:eastAsia="Times New Roman"/>
          <w:b/>
          <w:sz w:val="24"/>
          <w:szCs w:val="24"/>
        </w:rPr>
      </w:pPr>
      <w:r w:rsidRPr="00285FA2">
        <w:rPr>
          <w:rFonts w:eastAsia="Times New Roman"/>
          <w:b/>
          <w:sz w:val="24"/>
          <w:szCs w:val="24"/>
        </w:rPr>
        <w:t>QUYẾT ĐỊNH:</w:t>
      </w:r>
    </w:p>
    <w:p w:rsidR="00CF2AB3" w:rsidRPr="00285FA2" w:rsidRDefault="00CF2AB3" w:rsidP="00CF2AB3">
      <w:pPr>
        <w:spacing w:before="240" w:after="0" w:line="300" w:lineRule="atLeast"/>
        <w:ind w:firstLine="432"/>
        <w:jc w:val="both"/>
        <w:rPr>
          <w:rFonts w:eastAsia="Times New Roman"/>
          <w:sz w:val="24"/>
          <w:szCs w:val="24"/>
        </w:rPr>
      </w:pPr>
      <w:r w:rsidRPr="00285FA2">
        <w:rPr>
          <w:rFonts w:eastAsia="Times New Roman"/>
          <w:b/>
          <w:sz w:val="24"/>
          <w:szCs w:val="24"/>
        </w:rPr>
        <w:t xml:space="preserve">Điều 1: </w:t>
      </w:r>
    </w:p>
    <w:p w:rsidR="00CF2AB3" w:rsidRPr="00285FA2" w:rsidRDefault="00CF2AB3" w:rsidP="00CF2AB3">
      <w:pPr>
        <w:spacing w:after="0" w:line="294" w:lineRule="atLeast"/>
        <w:ind w:firstLine="432"/>
        <w:jc w:val="both"/>
        <w:rPr>
          <w:rFonts w:eastAsia="Times New Roman"/>
          <w:sz w:val="24"/>
          <w:szCs w:val="24"/>
        </w:rPr>
      </w:pPr>
      <w:r w:rsidRPr="00285FA2">
        <w:rPr>
          <w:rFonts w:eastAsia="Times New Roman"/>
          <w:sz w:val="24"/>
          <w:szCs w:val="24"/>
        </w:rPr>
        <w:t>Thành lập mới ba đơn vị cấp vụ sau đây thuộc bộ máy làm việc của Viện Kiểm sát nhân dân tối cao:</w:t>
      </w:r>
    </w:p>
    <w:p w:rsidR="00CF2AB3" w:rsidRPr="00285FA2" w:rsidRDefault="00CF2AB3" w:rsidP="00CF2AB3">
      <w:pPr>
        <w:spacing w:after="0" w:line="294" w:lineRule="atLeast"/>
        <w:ind w:firstLine="432"/>
        <w:jc w:val="both"/>
        <w:rPr>
          <w:rFonts w:eastAsia="Times New Roman"/>
          <w:i/>
          <w:spacing w:val="4"/>
          <w:sz w:val="24"/>
          <w:szCs w:val="24"/>
        </w:rPr>
      </w:pPr>
      <w:r w:rsidRPr="00285FA2">
        <w:rPr>
          <w:rFonts w:eastAsia="Times New Roman"/>
          <w:i/>
          <w:spacing w:val="4"/>
          <w:sz w:val="24"/>
          <w:szCs w:val="24"/>
        </w:rPr>
        <w:t>1- Vụ Thực hành quyền công tố và kiểm sát điều tra án tham nhũng</w:t>
      </w:r>
    </w:p>
    <w:p w:rsidR="00CF2AB3" w:rsidRPr="00285FA2" w:rsidRDefault="00CF2AB3" w:rsidP="00CF2AB3">
      <w:pPr>
        <w:spacing w:after="0" w:line="294" w:lineRule="atLeast"/>
        <w:ind w:firstLine="432"/>
        <w:jc w:val="both"/>
        <w:rPr>
          <w:rFonts w:eastAsia="Times New Roman"/>
          <w:sz w:val="24"/>
          <w:szCs w:val="24"/>
        </w:rPr>
      </w:pPr>
      <w:r w:rsidRPr="00285FA2">
        <w:rPr>
          <w:rFonts w:eastAsia="Times New Roman"/>
          <w:sz w:val="24"/>
          <w:szCs w:val="24"/>
        </w:rPr>
        <w:t>Nhiệm vụ, chức trách của đơn vị như sau:</w:t>
      </w:r>
    </w:p>
    <w:p w:rsidR="00CF2AB3" w:rsidRPr="00285FA2" w:rsidRDefault="00CF2AB3" w:rsidP="00CF2AB3">
      <w:pPr>
        <w:spacing w:after="0" w:line="300" w:lineRule="atLeast"/>
        <w:ind w:firstLine="432"/>
        <w:jc w:val="both"/>
        <w:rPr>
          <w:rFonts w:eastAsia="Times New Roman"/>
          <w:sz w:val="24"/>
          <w:szCs w:val="24"/>
        </w:rPr>
      </w:pPr>
      <w:r w:rsidRPr="00285FA2">
        <w:rPr>
          <w:rFonts w:eastAsia="Times New Roman"/>
          <w:sz w:val="24"/>
          <w:szCs w:val="24"/>
        </w:rPr>
        <w:t>a- Giúp Viện trưởng Viện Kiểm sát nhân dân tối cao tổ chức thực hiện nhiệm vụ thực hành quyền công tố và kiểm sát việc tuân theo pháp luật trong việc điều tra những vụ án tham nhũng do Cơ quan điều tra tội phạm về tham nhũng của Bộ Công an trực tiếp điều tra.</w:t>
      </w:r>
    </w:p>
    <w:p w:rsidR="00CF2AB3" w:rsidRPr="00285FA2" w:rsidRDefault="00CF2AB3" w:rsidP="00CF2AB3">
      <w:pPr>
        <w:spacing w:after="0" w:line="300" w:lineRule="atLeast"/>
        <w:ind w:firstLine="432"/>
        <w:jc w:val="both"/>
        <w:rPr>
          <w:rFonts w:eastAsia="Times New Roman"/>
          <w:sz w:val="24"/>
          <w:szCs w:val="24"/>
        </w:rPr>
      </w:pPr>
      <w:r w:rsidRPr="00285FA2">
        <w:rPr>
          <w:rFonts w:eastAsia="Times New Roman"/>
          <w:sz w:val="24"/>
          <w:szCs w:val="24"/>
        </w:rPr>
        <w:t>b- Tham mưu giúp Viện trưởng Viện Kiểm sát nhân dân tối cao theo dõi, quản lý, hướng dẫn, chỉ đạo và kiểm tra đối với Viện Kiểm sát nhân dân địa phương về nghiệp vụ thực hành quyền công tố, kiểm sát điều tra, kiểm sát xét xử sơ thẩm những vụ án tham nhũng.</w:t>
      </w:r>
    </w:p>
    <w:p w:rsidR="00CF2AB3" w:rsidRPr="00285FA2" w:rsidRDefault="00CF2AB3" w:rsidP="00CF2AB3">
      <w:pPr>
        <w:spacing w:after="0" w:line="300" w:lineRule="atLeast"/>
        <w:ind w:firstLine="432"/>
        <w:jc w:val="both"/>
        <w:rPr>
          <w:rFonts w:eastAsia="Times New Roman"/>
          <w:spacing w:val="-2"/>
          <w:sz w:val="24"/>
          <w:szCs w:val="24"/>
        </w:rPr>
      </w:pPr>
      <w:r w:rsidRPr="00285FA2">
        <w:rPr>
          <w:rFonts w:eastAsia="Times New Roman"/>
          <w:sz w:val="24"/>
          <w:szCs w:val="24"/>
        </w:rPr>
        <w:t xml:space="preserve">c- Phát hiện, tổng hợp vi phạm pháp luật của Cơ quan điều tra, </w:t>
      </w:r>
      <w:r w:rsidRPr="00285FA2">
        <w:rPr>
          <w:rFonts w:eastAsia="Times New Roman"/>
          <w:spacing w:val="-2"/>
          <w:sz w:val="24"/>
          <w:szCs w:val="24"/>
        </w:rPr>
        <w:t>cơ quan xét xử và các cơ quan, tổ chức, đơn vị liên quan khác để tham mưu với Viện trưởng Viện Kiểm sát nhân dân tối cao ban hành các kiến nghị đối với các cơ quan, tổ chức, đơn vị hữu quan về các biện pháp khắc phục và phòng ngừa vi phạm pháp luật.</w:t>
      </w:r>
    </w:p>
    <w:p w:rsidR="00CF2AB3" w:rsidRPr="00285FA2" w:rsidRDefault="00CF2AB3" w:rsidP="00CF2AB3">
      <w:pPr>
        <w:spacing w:after="0" w:line="310" w:lineRule="atLeast"/>
        <w:ind w:firstLine="432"/>
        <w:jc w:val="both"/>
        <w:rPr>
          <w:rFonts w:eastAsia="Times New Roman"/>
          <w:sz w:val="24"/>
          <w:szCs w:val="24"/>
        </w:rPr>
      </w:pPr>
      <w:r w:rsidRPr="00285FA2">
        <w:rPr>
          <w:rFonts w:eastAsia="Times New Roman"/>
          <w:sz w:val="24"/>
          <w:szCs w:val="24"/>
        </w:rPr>
        <w:t>d- Tham mưu giúp Viện trưởng Viện Kiểm sát nhân dân tối cao tổ chức thực hiện nhiệm vụ do Ban Chỉ đạo Trung ương về phòng, chống tham nhũng giao; giúp Viện trưởng Viện kiểm sát nhân dân tối cao phối hợp hoạt động với Cơ quan Thanh tra, Kiểm toán Nhà nước, Cơ quan điều tra, Tòa án trong các lĩnh vực: trao đổi thông tin, tài liệu, kinh nghiệm về công tác phòng, chống tham nhũng; chuyển hồ sơ vụ việc tham nhũng cho các cơ quan nhà nước có thẩm quyền xử lý theo quy định của pháp luật; tổng hợp, đánh giá, dự báo tình hình tội phạm tham nhũng và kiến nghị về chính sách, giải pháp phòng, chống tham nhũng; phối hợp với các đơn vị có liên quan thực hiện nhiệm vụ hợp tác quốc tế về tương trợ tư pháp trong phòng, chống tham nhũng.</w:t>
      </w:r>
    </w:p>
    <w:p w:rsidR="00CF2AB3" w:rsidRPr="00285FA2" w:rsidRDefault="00CF2AB3" w:rsidP="00CF2AB3">
      <w:pPr>
        <w:spacing w:after="0" w:line="300" w:lineRule="atLeast"/>
        <w:ind w:firstLine="432"/>
        <w:jc w:val="both"/>
        <w:rPr>
          <w:rFonts w:eastAsia="Times New Roman"/>
          <w:i/>
          <w:spacing w:val="-4"/>
          <w:sz w:val="24"/>
          <w:szCs w:val="24"/>
        </w:rPr>
      </w:pPr>
      <w:r w:rsidRPr="00285FA2">
        <w:rPr>
          <w:rFonts w:eastAsia="Times New Roman"/>
          <w:i/>
          <w:spacing w:val="-4"/>
          <w:sz w:val="24"/>
          <w:szCs w:val="24"/>
        </w:rPr>
        <w:t>2- Vụ Thực hành quyền công tố và kiểm sát điều tra án ma túy</w:t>
      </w:r>
    </w:p>
    <w:p w:rsidR="00CF2AB3" w:rsidRPr="00285FA2" w:rsidRDefault="00CF2AB3" w:rsidP="00CF2AB3">
      <w:pPr>
        <w:spacing w:after="0" w:line="300" w:lineRule="atLeast"/>
        <w:ind w:firstLine="432"/>
        <w:jc w:val="both"/>
        <w:rPr>
          <w:rFonts w:eastAsia="Times New Roman"/>
          <w:sz w:val="24"/>
          <w:szCs w:val="24"/>
        </w:rPr>
      </w:pPr>
      <w:r w:rsidRPr="00285FA2">
        <w:rPr>
          <w:rFonts w:eastAsia="Times New Roman"/>
          <w:sz w:val="24"/>
          <w:szCs w:val="24"/>
        </w:rPr>
        <w:t>Nhiệm vụ, chức trách của đơn vị như sau:</w:t>
      </w:r>
    </w:p>
    <w:p w:rsidR="00CF2AB3" w:rsidRPr="00285FA2" w:rsidRDefault="00CF2AB3" w:rsidP="00CF2AB3">
      <w:pPr>
        <w:spacing w:after="0" w:line="300" w:lineRule="atLeast"/>
        <w:ind w:firstLine="432"/>
        <w:jc w:val="both"/>
        <w:rPr>
          <w:rFonts w:eastAsia="Times New Roman"/>
          <w:sz w:val="24"/>
          <w:szCs w:val="24"/>
        </w:rPr>
      </w:pPr>
      <w:r w:rsidRPr="00285FA2">
        <w:rPr>
          <w:rFonts w:eastAsia="Times New Roman"/>
          <w:sz w:val="24"/>
          <w:szCs w:val="24"/>
        </w:rPr>
        <w:t xml:space="preserve">a- Giúp Viện trưởng Viện Kiểm sát nhân dân tối cao tổ chức thực hiện nhiệm vụ thực hành quyền công tố, kiểm sát việc tuân theo pháp luật trong việc điều tra những vụ án ma túy </w:t>
      </w:r>
      <w:r w:rsidRPr="00285FA2">
        <w:rPr>
          <w:rFonts w:eastAsia="Times New Roman"/>
          <w:sz w:val="24"/>
          <w:szCs w:val="24"/>
        </w:rPr>
        <w:lastRenderedPageBreak/>
        <w:t>do Cục cảnh sát điều tra tội phạm về ma túy thuộc Cơ quan cảnh sát điều tra Bộ Công an trực tiếp điều tra.</w:t>
      </w:r>
    </w:p>
    <w:p w:rsidR="00CF2AB3" w:rsidRPr="00285FA2" w:rsidRDefault="00CF2AB3" w:rsidP="00CF2AB3">
      <w:pPr>
        <w:spacing w:after="0" w:line="300" w:lineRule="atLeast"/>
        <w:ind w:firstLine="432"/>
        <w:jc w:val="both"/>
        <w:rPr>
          <w:rFonts w:eastAsia="Times New Roman"/>
          <w:sz w:val="24"/>
          <w:szCs w:val="24"/>
        </w:rPr>
      </w:pPr>
      <w:r w:rsidRPr="00285FA2">
        <w:rPr>
          <w:rFonts w:eastAsia="Times New Roman"/>
          <w:sz w:val="24"/>
          <w:szCs w:val="24"/>
        </w:rPr>
        <w:t>b- Tham mưu giúp Viện trưởng Viện Kiểm sát nhân dân tối cao theo dõi, quản lý, hướng dẫn, chỉ đạo và kiểm tra đối với Viện Kiểm sát nhân dân địa phương về nghiệp vụ thực hành quyền công tố, kiểm sát điều tra, kiểm sát xét xử sơ thẩm đối với những vụ án về ma túy.</w:t>
      </w:r>
    </w:p>
    <w:p w:rsidR="00CF2AB3" w:rsidRPr="00285FA2" w:rsidRDefault="00CF2AB3" w:rsidP="00CF2AB3">
      <w:pPr>
        <w:spacing w:after="0" w:line="300" w:lineRule="atLeast"/>
        <w:ind w:firstLine="432"/>
        <w:jc w:val="both"/>
        <w:rPr>
          <w:rFonts w:eastAsia="Times New Roman"/>
          <w:sz w:val="24"/>
          <w:szCs w:val="24"/>
        </w:rPr>
      </w:pPr>
      <w:r w:rsidRPr="00285FA2">
        <w:rPr>
          <w:rFonts w:eastAsia="Times New Roman"/>
          <w:sz w:val="24"/>
          <w:szCs w:val="24"/>
        </w:rPr>
        <w:t>c- Phát hiện, tổng hợp vi phạm pháp luật của cơ quan điều tra, cơ quan xét xử và các cơ quan, tổ chức khác có liên quan để tham mưu với Viện trưởng Viện Kiểm sát nhân dân tối cao ban hành các kiến nghị đối với các ngành, các cấp và cơ quan hữu quan thực hiện nhiệm vụ hợp tác quốc tế về tương trợ tư pháp trong phòng, chống tội phạm về ma túy.</w:t>
      </w:r>
    </w:p>
    <w:p w:rsidR="00CF2AB3" w:rsidRPr="00285FA2" w:rsidRDefault="00CF2AB3" w:rsidP="00CF2AB3">
      <w:pPr>
        <w:spacing w:after="0" w:line="300" w:lineRule="atLeast"/>
        <w:ind w:firstLine="432"/>
        <w:jc w:val="both"/>
        <w:rPr>
          <w:rFonts w:eastAsia="Times New Roman"/>
          <w:i/>
          <w:sz w:val="24"/>
          <w:szCs w:val="24"/>
        </w:rPr>
      </w:pPr>
      <w:r w:rsidRPr="00285FA2">
        <w:rPr>
          <w:rFonts w:eastAsia="Times New Roman"/>
          <w:i/>
          <w:sz w:val="24"/>
          <w:szCs w:val="24"/>
        </w:rPr>
        <w:t>3- Vụ Hợp tác quốc tế</w:t>
      </w:r>
    </w:p>
    <w:p w:rsidR="00CF2AB3" w:rsidRPr="00285FA2" w:rsidRDefault="00CF2AB3" w:rsidP="00CF2AB3">
      <w:pPr>
        <w:spacing w:after="0" w:line="300" w:lineRule="atLeast"/>
        <w:ind w:firstLine="432"/>
        <w:jc w:val="both"/>
        <w:rPr>
          <w:rFonts w:eastAsia="Times New Roman"/>
          <w:sz w:val="24"/>
          <w:szCs w:val="24"/>
        </w:rPr>
      </w:pPr>
      <w:r w:rsidRPr="00285FA2">
        <w:rPr>
          <w:rFonts w:eastAsia="Times New Roman"/>
          <w:sz w:val="24"/>
          <w:szCs w:val="24"/>
        </w:rPr>
        <w:t>Nhiệm vụ, chức trách của đơn vị như sau:</w:t>
      </w:r>
    </w:p>
    <w:p w:rsidR="00CF2AB3" w:rsidRPr="00285FA2" w:rsidRDefault="00CF2AB3" w:rsidP="00CF2AB3">
      <w:pPr>
        <w:spacing w:after="0" w:line="300" w:lineRule="atLeast"/>
        <w:ind w:firstLine="432"/>
        <w:jc w:val="both"/>
        <w:rPr>
          <w:rFonts w:eastAsia="Times New Roman"/>
          <w:sz w:val="24"/>
          <w:szCs w:val="24"/>
        </w:rPr>
      </w:pPr>
      <w:r w:rsidRPr="00285FA2">
        <w:rPr>
          <w:rFonts w:eastAsia="Times New Roman"/>
          <w:sz w:val="24"/>
          <w:szCs w:val="24"/>
        </w:rPr>
        <w:t>a- Tham mưu giúp Viện trưởng Viện Kiểm sát nhân dân tối cao thực hiện chức năng quản lý Nhà nước về công tác đối ngoại và hợp tác quốc tế trong ngành Kiểm sát nhân dân.</w:t>
      </w:r>
    </w:p>
    <w:p w:rsidR="00CF2AB3" w:rsidRPr="00285FA2" w:rsidRDefault="00CF2AB3" w:rsidP="00CF2AB3">
      <w:pPr>
        <w:spacing w:after="0" w:line="300" w:lineRule="atLeast"/>
        <w:ind w:firstLine="432"/>
        <w:jc w:val="both"/>
        <w:rPr>
          <w:rFonts w:eastAsia="Times New Roman"/>
          <w:spacing w:val="-2"/>
          <w:sz w:val="24"/>
          <w:szCs w:val="24"/>
        </w:rPr>
      </w:pPr>
      <w:r w:rsidRPr="00285FA2">
        <w:rPr>
          <w:rFonts w:eastAsia="Times New Roman"/>
          <w:spacing w:val="-2"/>
          <w:sz w:val="24"/>
          <w:szCs w:val="24"/>
        </w:rPr>
        <w:t>b- Là đầu mối quản lý công tác đối ngoại và hợp tác quốc tế của ngành Kiểm sát nhân dân; giúp Viện trưởng Viện Kiểm sát nhân dân tối cao theo dõi, quản lý, hướng dẫn, chỉ đạo và kiểm tra các hoạt động hợp tác quốc tế của ngành Kiểm sát nhân dân; làm nhiệm vụ phát ngôn về đối ngoại của ngành Kiểm sát nhân dân.</w:t>
      </w:r>
    </w:p>
    <w:p w:rsidR="00CF2AB3" w:rsidRPr="00285FA2" w:rsidRDefault="00CF2AB3" w:rsidP="00CF2AB3">
      <w:pPr>
        <w:spacing w:after="0" w:line="300" w:lineRule="atLeast"/>
        <w:ind w:firstLine="432"/>
        <w:jc w:val="both"/>
        <w:rPr>
          <w:rFonts w:eastAsia="Times New Roman"/>
          <w:sz w:val="24"/>
          <w:szCs w:val="24"/>
        </w:rPr>
      </w:pPr>
      <w:r w:rsidRPr="00285FA2">
        <w:rPr>
          <w:rFonts w:eastAsia="Times New Roman"/>
          <w:sz w:val="24"/>
          <w:szCs w:val="24"/>
        </w:rPr>
        <w:t>c- Tiếp nhận hồ sơ, tài liệu liên quan đến hợp tác quốc tế trong hoạt động tố tụng để chuyển đến các đơn vị trong ngành Kiểm sát giải quyết theo thẩm quyền; giúp Viện trưởng Viện Kiểm sát nhân dân tối cao theo dõi, quản lý các đơn vị trong ngành Kiểm sát về công tác giải quyết các vụ việc liên quan đến hợp tác quốc tế trong hoạt động tố tụng. Phối hợp với các đơn vị trong ngành Kiểm sát tổ chức các hội nghị, hội thảo quốc tế; giúp Viện trưởng Viện Kiểm sát nhân dân tối cao quản lý, theo dõi các chương trình dự án quốc tế tài trợ của ngành Kiểm sát; tiếp nhận, tổ chức biên dịch các hồ sơ, tài liệu có liên quan đến hoạt động hợp tác quốc tế của ngành Kiểm sát.</w:t>
      </w:r>
    </w:p>
    <w:p w:rsidR="00CF2AB3" w:rsidRPr="00285FA2" w:rsidRDefault="00CF2AB3" w:rsidP="00CF2AB3">
      <w:pPr>
        <w:spacing w:after="0" w:line="310" w:lineRule="exact"/>
        <w:ind w:firstLine="432"/>
        <w:jc w:val="both"/>
        <w:rPr>
          <w:rFonts w:eastAsia="Times New Roman"/>
          <w:sz w:val="24"/>
          <w:szCs w:val="24"/>
        </w:rPr>
      </w:pPr>
      <w:r w:rsidRPr="00285FA2">
        <w:rPr>
          <w:rFonts w:eastAsia="Times New Roman"/>
          <w:sz w:val="24"/>
          <w:szCs w:val="24"/>
        </w:rPr>
        <w:t>d- Nghiên cứu, đề xuất với Viện trưởng Viện Kiểm sát nhân dân tối cao phương hướng và kế hoạch hợp tác của ngành Kiểm sát Việt Nam đối với nước ngoài; định kỳ báo cáo về kết quả công tác đối ngoại và hợp tác quốc tế của ngành Kiểm sát; giúp Viện trưởng Viện kiểm sát nhân dân tối cao theo dõi, quản lý đoàn ra, đoàn vào.</w:t>
      </w:r>
    </w:p>
    <w:p w:rsidR="00CF2AB3" w:rsidRPr="00285FA2" w:rsidRDefault="00CF2AB3" w:rsidP="00CF2AB3">
      <w:pPr>
        <w:spacing w:after="0" w:line="310" w:lineRule="exact"/>
        <w:ind w:firstLine="432"/>
        <w:jc w:val="both"/>
        <w:rPr>
          <w:rFonts w:eastAsia="Times New Roman"/>
          <w:b/>
          <w:sz w:val="24"/>
          <w:szCs w:val="24"/>
        </w:rPr>
      </w:pPr>
      <w:r w:rsidRPr="00285FA2">
        <w:rPr>
          <w:rFonts w:eastAsia="Times New Roman"/>
          <w:b/>
          <w:sz w:val="24"/>
          <w:szCs w:val="24"/>
        </w:rPr>
        <w:t>Điều 2:</w:t>
      </w:r>
    </w:p>
    <w:p w:rsidR="00CF2AB3" w:rsidRPr="00285FA2" w:rsidRDefault="00CF2AB3" w:rsidP="00CF2AB3">
      <w:pPr>
        <w:spacing w:after="0" w:line="300" w:lineRule="exact"/>
        <w:ind w:firstLine="432"/>
        <w:jc w:val="both"/>
        <w:rPr>
          <w:rFonts w:eastAsia="Times New Roman"/>
          <w:spacing w:val="-2"/>
          <w:sz w:val="24"/>
          <w:szCs w:val="24"/>
        </w:rPr>
      </w:pPr>
      <w:r w:rsidRPr="00285FA2">
        <w:rPr>
          <w:rFonts w:eastAsia="Times New Roman"/>
          <w:spacing w:val="-2"/>
          <w:sz w:val="24"/>
          <w:szCs w:val="24"/>
        </w:rPr>
        <w:t>Cơ cấu tổ chức, nhiệm vụ cụ thể, biên chế cán bộ, ký hiệu, tên gọi tắt của các đơn vị thuộc bộ máy làm việc của Viện Kiểm sát nhân dân tối cao được quy định tại Điều 1 của Quyết định này do Viện trưởng Viện Kiểm sát nhân dân tối cao quy định trong Quy chế nhiệm vụ, chức trách làm việc của từng đơn vị.</w:t>
      </w:r>
    </w:p>
    <w:p w:rsidR="00CF2AB3" w:rsidRPr="00285FA2" w:rsidRDefault="00CF2AB3" w:rsidP="00CF2AB3">
      <w:pPr>
        <w:spacing w:after="0" w:line="300" w:lineRule="exact"/>
        <w:ind w:firstLine="432"/>
        <w:jc w:val="both"/>
        <w:rPr>
          <w:rFonts w:eastAsia="Times New Roman"/>
          <w:b/>
          <w:sz w:val="24"/>
          <w:szCs w:val="24"/>
        </w:rPr>
      </w:pPr>
      <w:r w:rsidRPr="00285FA2">
        <w:rPr>
          <w:rFonts w:eastAsia="Times New Roman"/>
          <w:b/>
          <w:sz w:val="24"/>
          <w:szCs w:val="24"/>
        </w:rPr>
        <w:t>Điều 3:</w:t>
      </w:r>
    </w:p>
    <w:p w:rsidR="00CF2AB3" w:rsidRPr="00285FA2" w:rsidRDefault="00CF2AB3" w:rsidP="00CF2AB3">
      <w:pPr>
        <w:spacing w:after="0" w:line="300" w:lineRule="exact"/>
        <w:ind w:firstLine="432"/>
        <w:jc w:val="both"/>
        <w:rPr>
          <w:rFonts w:eastAsia="Times New Roman"/>
          <w:sz w:val="24"/>
          <w:szCs w:val="24"/>
        </w:rPr>
      </w:pPr>
      <w:r w:rsidRPr="00285FA2">
        <w:rPr>
          <w:rFonts w:eastAsia="Times New Roman"/>
          <w:spacing w:val="-12"/>
          <w:sz w:val="24"/>
          <w:szCs w:val="24"/>
        </w:rPr>
        <w:t>Quyết định này bổ sung Quyết định số</w:t>
      </w:r>
      <w:r w:rsidRPr="00285FA2">
        <w:rPr>
          <w:rFonts w:eastAsia="Times New Roman"/>
          <w:sz w:val="24"/>
          <w:szCs w:val="24"/>
        </w:rPr>
        <w:t xml:space="preserve"> 01/2003/QĐ/VKSNDTC-TCCB ngày 19/2/2003 của Viện trưởng Viện Kiểm sát nhân dân tối cao về việc quy định bộ máy làm việc của Viện Kiểm sát nhân dân tối cao và có hiệu lực thi hành từ ngày được Ủy ban Thường vụ Quốc hội phê chuẩn. Những quy định trước đây trái với Quyết định này đều bãi bỏ.</w:t>
      </w:r>
    </w:p>
    <w:p w:rsidR="00CF2AB3" w:rsidRPr="00285FA2" w:rsidRDefault="00CF2AB3" w:rsidP="00CF2AB3">
      <w:pPr>
        <w:spacing w:after="0" w:line="300" w:lineRule="exact"/>
        <w:ind w:firstLine="432"/>
        <w:jc w:val="both"/>
        <w:rPr>
          <w:rFonts w:eastAsia="Times New Roman"/>
          <w:sz w:val="24"/>
          <w:szCs w:val="24"/>
        </w:rPr>
      </w:pPr>
      <w:r w:rsidRPr="00285FA2">
        <w:rPr>
          <w:rFonts w:eastAsia="Times New Roman"/>
          <w:sz w:val="24"/>
          <w:szCs w:val="24"/>
        </w:rPr>
        <w:t>Chánh Văn phòng, Vụ trưởng Vụ Tổ chức cán bộ, Thủ trưởng các đơn vị thuộc Viện Kiểm sát nhân dân tối cao, Viện trưởng Viện Kiểm sát nhân dân các tỉnh, thành phố trực thuộc Trung ương chịu trách nhiệm thi hành quyết định này.</w:t>
      </w:r>
    </w:p>
    <w:p w:rsidR="00CF2AB3" w:rsidRPr="00285FA2" w:rsidRDefault="00CF2AB3" w:rsidP="00CF2AB3">
      <w:pPr>
        <w:spacing w:before="240" w:after="0" w:line="300" w:lineRule="atLeast"/>
        <w:ind w:left="2160" w:firstLine="432"/>
        <w:jc w:val="center"/>
        <w:rPr>
          <w:rFonts w:eastAsia="Times New Roman"/>
          <w:b/>
          <w:sz w:val="24"/>
          <w:szCs w:val="24"/>
        </w:rPr>
      </w:pPr>
      <w:r w:rsidRPr="00285FA2">
        <w:rPr>
          <w:rFonts w:eastAsia="Times New Roman"/>
          <w:b/>
          <w:sz w:val="24"/>
          <w:szCs w:val="24"/>
        </w:rPr>
        <w:t xml:space="preserve">           T/M VIỆN KIỂM  SÁT </w:t>
      </w:r>
    </w:p>
    <w:p w:rsidR="00CF2AB3" w:rsidRPr="00285FA2" w:rsidRDefault="00CF2AB3" w:rsidP="00CF2AB3">
      <w:pPr>
        <w:spacing w:after="0" w:line="300" w:lineRule="atLeast"/>
        <w:ind w:left="2160" w:firstLine="432"/>
        <w:jc w:val="center"/>
        <w:rPr>
          <w:rFonts w:eastAsia="Times New Roman"/>
          <w:b/>
          <w:sz w:val="24"/>
          <w:szCs w:val="24"/>
        </w:rPr>
      </w:pPr>
      <w:r w:rsidRPr="00285FA2">
        <w:rPr>
          <w:rFonts w:eastAsia="Times New Roman"/>
          <w:b/>
          <w:sz w:val="24"/>
          <w:szCs w:val="24"/>
        </w:rPr>
        <w:t xml:space="preserve">              Viện trưởng</w:t>
      </w:r>
    </w:p>
    <w:p w:rsidR="00CF2AB3" w:rsidRPr="00285FA2" w:rsidRDefault="00CF2AB3" w:rsidP="00CF2AB3">
      <w:pPr>
        <w:spacing w:before="120" w:after="0" w:line="300" w:lineRule="atLeast"/>
        <w:ind w:left="2160" w:firstLine="432"/>
        <w:jc w:val="center"/>
        <w:rPr>
          <w:rFonts w:eastAsia="Times New Roman"/>
          <w:b/>
          <w:sz w:val="24"/>
          <w:szCs w:val="24"/>
        </w:rPr>
      </w:pPr>
      <w:r w:rsidRPr="00285FA2">
        <w:rPr>
          <w:rFonts w:eastAsia="Times New Roman"/>
          <w:b/>
          <w:sz w:val="24"/>
          <w:szCs w:val="24"/>
        </w:rPr>
        <w:t xml:space="preserve">            HÀ MẠNH TRÍ</w:t>
      </w:r>
    </w:p>
    <w:p w:rsidR="00123D43" w:rsidRDefault="00123D43"/>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CF2AB3"/>
    <w:rsid w:val="00123D43"/>
    <w:rsid w:val="003505D2"/>
    <w:rsid w:val="00512589"/>
    <w:rsid w:val="00582ABF"/>
    <w:rsid w:val="00877FDD"/>
    <w:rsid w:val="00AF65FE"/>
    <w:rsid w:val="00BE73E9"/>
    <w:rsid w:val="00CF2AB3"/>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B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2012-05-02T11:20:00Z</dcterms:created>
  <dcterms:modified xsi:type="dcterms:W3CDTF">2012-05-02T11:20:00Z</dcterms:modified>
</cp:coreProperties>
</file>