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5B" w:rsidRPr="00285FA2" w:rsidRDefault="00D7535B" w:rsidP="00D7535B">
      <w:pPr>
        <w:spacing w:after="0" w:line="360" w:lineRule="exact"/>
        <w:jc w:val="center"/>
        <w:rPr>
          <w:rFonts w:eastAsia="Times New Roman"/>
          <w:b/>
          <w:sz w:val="26"/>
          <w:szCs w:val="26"/>
        </w:rPr>
      </w:pPr>
      <w:r w:rsidRPr="00285FA2">
        <w:rPr>
          <w:rFonts w:eastAsia="Times New Roman"/>
          <w:b/>
          <w:sz w:val="26"/>
          <w:szCs w:val="26"/>
        </w:rPr>
        <w:t xml:space="preserve">QUYẾT ĐỊNH </w:t>
      </w:r>
    </w:p>
    <w:p w:rsidR="00D7535B" w:rsidRPr="00285FA2" w:rsidRDefault="00D7535B" w:rsidP="00D7535B">
      <w:pPr>
        <w:spacing w:after="0" w:line="360" w:lineRule="exact"/>
        <w:jc w:val="center"/>
        <w:rPr>
          <w:rFonts w:eastAsia="Times New Roman"/>
          <w:b/>
          <w:sz w:val="26"/>
          <w:szCs w:val="26"/>
        </w:rPr>
      </w:pPr>
      <w:r w:rsidRPr="00285FA2">
        <w:rPr>
          <w:rFonts w:eastAsia="Times New Roman"/>
          <w:b/>
          <w:sz w:val="26"/>
          <w:szCs w:val="26"/>
        </w:rPr>
        <w:t>SỐ 2222/QĐ-TTCP, NGÀY 23 THÁNG 11 NĂM 2006 CỦA TỔNG THANH TRA CHÍNH PHỦ</w:t>
      </w:r>
    </w:p>
    <w:p w:rsidR="00D7535B" w:rsidRPr="00285FA2" w:rsidRDefault="00D7535B" w:rsidP="00D7535B">
      <w:pPr>
        <w:spacing w:after="0" w:line="360" w:lineRule="exact"/>
        <w:jc w:val="center"/>
        <w:rPr>
          <w:rFonts w:eastAsia="Times New Roman"/>
          <w:b/>
          <w:sz w:val="24"/>
          <w:szCs w:val="24"/>
        </w:rPr>
      </w:pPr>
      <w:r w:rsidRPr="00285FA2">
        <w:rPr>
          <w:rFonts w:eastAsia="Times New Roman"/>
          <w:b/>
          <w:sz w:val="24"/>
          <w:szCs w:val="24"/>
        </w:rPr>
        <w:t>về chức năng, nhiệm vụ, quyền hạn và</w:t>
      </w:r>
    </w:p>
    <w:p w:rsidR="00D7535B" w:rsidRPr="00285FA2" w:rsidRDefault="00D7535B" w:rsidP="00D7535B">
      <w:pPr>
        <w:spacing w:after="0" w:line="360" w:lineRule="exact"/>
        <w:jc w:val="center"/>
        <w:rPr>
          <w:rFonts w:eastAsia="Times New Roman"/>
          <w:b/>
          <w:sz w:val="24"/>
          <w:szCs w:val="24"/>
        </w:rPr>
      </w:pPr>
      <w:r w:rsidRPr="00285FA2">
        <w:rPr>
          <w:rFonts w:eastAsia="Times New Roman"/>
          <w:b/>
          <w:sz w:val="24"/>
          <w:szCs w:val="24"/>
        </w:rPr>
        <w:t>cơ cấu tổ chức của Cục Chống tham nhũng</w:t>
      </w:r>
    </w:p>
    <w:p w:rsidR="00D7535B" w:rsidRPr="00285FA2" w:rsidRDefault="00D7535B" w:rsidP="00D7535B">
      <w:pPr>
        <w:spacing w:after="0" w:line="360" w:lineRule="exact"/>
        <w:jc w:val="center"/>
        <w:rPr>
          <w:rFonts w:eastAsia="Times New Roman"/>
          <w:b/>
          <w:sz w:val="24"/>
          <w:szCs w:val="24"/>
        </w:rPr>
      </w:pPr>
    </w:p>
    <w:p w:rsidR="00D7535B" w:rsidRPr="00285FA2" w:rsidRDefault="00D7535B" w:rsidP="00D7535B">
      <w:pPr>
        <w:spacing w:after="0" w:line="360" w:lineRule="exact"/>
        <w:jc w:val="center"/>
        <w:rPr>
          <w:rFonts w:eastAsia="Times New Roman"/>
          <w:b/>
          <w:sz w:val="24"/>
          <w:szCs w:val="24"/>
        </w:rPr>
      </w:pPr>
      <w:r w:rsidRPr="00285FA2">
        <w:rPr>
          <w:rFonts w:eastAsia="Times New Roman"/>
          <w:b/>
          <w:sz w:val="24"/>
          <w:szCs w:val="24"/>
        </w:rPr>
        <w:t>TỔNG THANH TRA</w:t>
      </w:r>
    </w:p>
    <w:p w:rsidR="00D7535B" w:rsidRPr="00285FA2" w:rsidRDefault="00D7535B" w:rsidP="00D7535B">
      <w:pPr>
        <w:spacing w:after="0" w:line="300" w:lineRule="atLeast"/>
        <w:ind w:firstLine="432"/>
        <w:jc w:val="both"/>
        <w:rPr>
          <w:rFonts w:eastAsia="Times New Roman"/>
          <w:b/>
          <w:sz w:val="24"/>
          <w:szCs w:val="24"/>
        </w:rPr>
      </w:pP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Căn cứ Luật Thanh tra ngày 15-06-2004;</w:t>
      </w: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Căn cứ Luật Phòng, chống tham nhũng ngày 29-11-2005;</w:t>
      </w: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Căn cứ Luật Khiếu nại, tố cáo ngày 25-11-1998 và Luật sửa đổi, bổ sung một số điều của Luật Khiếu nại, tố cáo ngày 15-06-2004; Luật sửa đổi, bổ sung một số điều của Luật Khiếu nại, tố cáo ngày 29-11-2005;</w:t>
      </w: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Căn cứ Nghị định số 86/2/2002/NĐ-CP ngày 5-11-2002 của Chính phủ quy định chức năng, nhiệm vụ, quyền hạn và cơ cấu tổ chức của bộ, cơ quan ngang bộ;</w:t>
      </w: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 xml:space="preserve">Căn cứ Quyết định số 1424/QĐ-TTg, ngày 31-10-2006 của Thủ tướng Chính phủ về việc thành lập Cục Chống tham nhũng thuộc Thanh tra Chính phủ; </w:t>
      </w:r>
    </w:p>
    <w:p w:rsidR="00D7535B" w:rsidRPr="00285FA2" w:rsidRDefault="00D7535B" w:rsidP="00D7535B">
      <w:pPr>
        <w:spacing w:after="0" w:line="300" w:lineRule="atLeast"/>
        <w:ind w:firstLine="432"/>
        <w:jc w:val="both"/>
        <w:rPr>
          <w:rFonts w:eastAsia="Times New Roman"/>
          <w:i/>
          <w:sz w:val="24"/>
          <w:szCs w:val="24"/>
        </w:rPr>
      </w:pPr>
      <w:r w:rsidRPr="00285FA2">
        <w:rPr>
          <w:rFonts w:eastAsia="Times New Roman"/>
          <w:i/>
          <w:sz w:val="24"/>
          <w:szCs w:val="24"/>
        </w:rPr>
        <w:t>Xét đề nghị của Vụ trưởng Vụ Tổ chức cán bộ,</w:t>
      </w:r>
    </w:p>
    <w:p w:rsidR="00D7535B" w:rsidRPr="00285FA2" w:rsidRDefault="00D7535B" w:rsidP="00D7535B">
      <w:pPr>
        <w:spacing w:before="360" w:after="0" w:line="300" w:lineRule="atLeast"/>
        <w:jc w:val="center"/>
        <w:rPr>
          <w:rFonts w:eastAsia="Times New Roman"/>
          <w:b/>
          <w:sz w:val="24"/>
          <w:szCs w:val="24"/>
        </w:rPr>
      </w:pPr>
      <w:r w:rsidRPr="00285FA2">
        <w:rPr>
          <w:rFonts w:eastAsia="Times New Roman"/>
          <w:b/>
          <w:sz w:val="24"/>
          <w:szCs w:val="24"/>
        </w:rPr>
        <w:t>QUYẾT ĐỊNH:</w:t>
      </w:r>
    </w:p>
    <w:p w:rsidR="00D7535B" w:rsidRPr="00285FA2" w:rsidRDefault="00D7535B" w:rsidP="00D7535B">
      <w:pPr>
        <w:spacing w:before="120" w:after="0" w:line="300" w:lineRule="atLeast"/>
        <w:ind w:firstLine="432"/>
        <w:jc w:val="both"/>
        <w:rPr>
          <w:rFonts w:eastAsia="Times New Roman"/>
          <w:b/>
          <w:sz w:val="24"/>
          <w:szCs w:val="24"/>
        </w:rPr>
      </w:pPr>
      <w:r w:rsidRPr="00285FA2">
        <w:rPr>
          <w:rFonts w:eastAsia="Times New Roman"/>
          <w:b/>
          <w:sz w:val="24"/>
          <w:szCs w:val="24"/>
        </w:rPr>
        <w:t>Điều 1. Vị trí, chức năng</w:t>
      </w:r>
    </w:p>
    <w:p w:rsidR="00D7535B" w:rsidRPr="00285FA2" w:rsidRDefault="00D7535B" w:rsidP="00D7535B">
      <w:pPr>
        <w:spacing w:after="0" w:line="320" w:lineRule="exact"/>
        <w:ind w:firstLine="432"/>
        <w:jc w:val="both"/>
        <w:rPr>
          <w:rFonts w:eastAsia="Times New Roman"/>
          <w:sz w:val="24"/>
          <w:szCs w:val="24"/>
        </w:rPr>
      </w:pPr>
      <w:r w:rsidRPr="00285FA2">
        <w:rPr>
          <w:rFonts w:eastAsia="Times New Roman"/>
          <w:sz w:val="24"/>
          <w:szCs w:val="24"/>
        </w:rPr>
        <w:t>Cục Chống tham nhũng là đơn vị trực thuộc Thanh tra Chính phủ có chức năng giúp Tổng Thanh tra quản lý Nhà nước về công tác phòng, chống tham nhũng; thực hiện nhiệm vụ, quyền hạn thanh tra chống tham nhũng theo thẩm quyền của Thanh tra Chính phủ.</w:t>
      </w:r>
    </w:p>
    <w:p w:rsidR="00D7535B" w:rsidRPr="00285FA2" w:rsidRDefault="00D7535B" w:rsidP="00D7535B">
      <w:pPr>
        <w:spacing w:after="0" w:line="320" w:lineRule="exact"/>
        <w:ind w:firstLine="432"/>
        <w:jc w:val="both"/>
        <w:rPr>
          <w:rFonts w:eastAsia="Times New Roman"/>
          <w:sz w:val="24"/>
          <w:szCs w:val="24"/>
        </w:rPr>
      </w:pPr>
      <w:r w:rsidRPr="00285FA2">
        <w:rPr>
          <w:rFonts w:eastAsia="Times New Roman"/>
          <w:sz w:val="24"/>
          <w:szCs w:val="24"/>
        </w:rPr>
        <w:t>Cục Chống tham nhũng có tư cách pháp nhân; có con dấu riêng; được mở tài khoản tại Kho bạc Nhà nước; trụ sở chính đặt tại Thành Phố Hà Nội.</w:t>
      </w:r>
    </w:p>
    <w:p w:rsidR="00D7535B" w:rsidRPr="00285FA2" w:rsidRDefault="00D7535B" w:rsidP="00D7535B">
      <w:pPr>
        <w:spacing w:after="0" w:line="320" w:lineRule="exact"/>
        <w:ind w:firstLine="432"/>
        <w:jc w:val="both"/>
        <w:rPr>
          <w:rFonts w:eastAsia="Times New Roman"/>
          <w:b/>
          <w:sz w:val="24"/>
          <w:szCs w:val="24"/>
        </w:rPr>
      </w:pPr>
      <w:r w:rsidRPr="00285FA2">
        <w:rPr>
          <w:rFonts w:eastAsia="Times New Roman"/>
          <w:b/>
          <w:sz w:val="24"/>
          <w:szCs w:val="24"/>
        </w:rPr>
        <w:t>Điều 2. Nhiệm vụ, quyền hạn</w:t>
      </w:r>
    </w:p>
    <w:p w:rsidR="00D7535B" w:rsidRPr="00285FA2" w:rsidRDefault="00D7535B" w:rsidP="00D7535B">
      <w:pPr>
        <w:spacing w:after="0" w:line="320" w:lineRule="exact"/>
        <w:ind w:firstLine="432"/>
        <w:jc w:val="both"/>
        <w:rPr>
          <w:rFonts w:eastAsia="Times New Roman"/>
          <w:sz w:val="24"/>
          <w:szCs w:val="24"/>
        </w:rPr>
      </w:pPr>
      <w:r w:rsidRPr="00285FA2">
        <w:rPr>
          <w:rFonts w:eastAsia="Times New Roman"/>
          <w:sz w:val="24"/>
          <w:szCs w:val="24"/>
        </w:rPr>
        <w:t>Cục Chống tham nhũng có những nhiệm vụ:</w:t>
      </w:r>
    </w:p>
    <w:p w:rsidR="00D7535B" w:rsidRPr="00285FA2" w:rsidRDefault="00D7535B" w:rsidP="00D7535B">
      <w:pPr>
        <w:spacing w:after="0" w:line="300" w:lineRule="exact"/>
        <w:ind w:firstLine="432"/>
        <w:jc w:val="both"/>
        <w:rPr>
          <w:rFonts w:eastAsia="Times New Roman"/>
          <w:sz w:val="24"/>
          <w:szCs w:val="24"/>
        </w:rPr>
      </w:pPr>
      <w:r w:rsidRPr="00285FA2">
        <w:rPr>
          <w:rFonts w:eastAsia="Times New Roman"/>
          <w:sz w:val="24"/>
          <w:szCs w:val="24"/>
        </w:rPr>
        <w:t>a. Xây dựng, trình Tổng Thanh tra chiến lược, chương trình, kế hoạch phòng, chống tham nhũng;</w:t>
      </w:r>
    </w:p>
    <w:p w:rsidR="00D7535B" w:rsidRPr="00285FA2" w:rsidRDefault="00D7535B" w:rsidP="00D7535B">
      <w:pPr>
        <w:spacing w:after="0" w:line="300" w:lineRule="exact"/>
        <w:ind w:firstLine="432"/>
        <w:jc w:val="both"/>
        <w:rPr>
          <w:rFonts w:eastAsia="Times New Roman"/>
          <w:sz w:val="24"/>
          <w:szCs w:val="24"/>
        </w:rPr>
      </w:pPr>
      <w:r w:rsidRPr="00285FA2">
        <w:rPr>
          <w:rFonts w:eastAsia="Times New Roman"/>
          <w:sz w:val="24"/>
          <w:szCs w:val="24"/>
        </w:rPr>
        <w:t>b. Giúp Tổng Thanh tra tổ chức, chỉ đạo, hướng dẫn thực hiện các quy định của pháp luật về phòng, chống tham nhũng theo chức năng của Thanh tra Chính phủ.</w:t>
      </w:r>
    </w:p>
    <w:p w:rsidR="00D7535B" w:rsidRPr="00285FA2" w:rsidRDefault="00D7535B" w:rsidP="00D7535B">
      <w:pPr>
        <w:spacing w:after="0" w:line="300" w:lineRule="exact"/>
        <w:ind w:firstLine="432"/>
        <w:jc w:val="both"/>
        <w:rPr>
          <w:rFonts w:eastAsia="Times New Roman"/>
          <w:sz w:val="24"/>
          <w:szCs w:val="24"/>
        </w:rPr>
      </w:pPr>
      <w:r w:rsidRPr="00285FA2">
        <w:rPr>
          <w:rFonts w:eastAsia="Times New Roman"/>
          <w:sz w:val="24"/>
          <w:szCs w:val="24"/>
        </w:rPr>
        <w:t>c. Thanh tra, kiểm tra trách nhiệm của các bộ, cơ quan ngang bộ, cơ quan thuộc Chính phủ, Ủy ban nhân dân các tỉnh, thành phố trực thuộc Trung ương thực hiện các quy định của pháp luật về phòng, chống tham nhũng;</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d. Thanh tra các vụ việc có dấu hiệu tham nhũng thuộc thẩm quyền của Thanh tra Chính phủ;</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đ. Tiếp nhận và thu thập thông tin về vụ việc có dấu hiệu tham nhũng; xây dựng cơ sở dữ liệu thông tin về phòng, chống tham nhũng;</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e. Tổng hợp, báo cáo kết quả về phòng, chống tham nhũng thuộc phạm vi quản lý Nhà nước của Thanh tra Chính phủ; tổng kết kinh nghiệm về công tác phòng, chống tham nhũng;</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f. Quản lý tổ chức, đội ngũ cán bộ, công chức theo phân cấp của Tổng Thanh tra, quản lý tài sản, tài chính được giao theo quy định của pháp luật;</w:t>
      </w:r>
    </w:p>
    <w:p w:rsidR="00D7535B" w:rsidRPr="00285FA2" w:rsidRDefault="00D7535B" w:rsidP="00D7535B">
      <w:pPr>
        <w:spacing w:after="0" w:line="300" w:lineRule="atLeast"/>
        <w:ind w:firstLine="432"/>
        <w:jc w:val="both"/>
        <w:rPr>
          <w:rFonts w:eastAsia="Times New Roman"/>
          <w:spacing w:val="-4"/>
          <w:sz w:val="24"/>
          <w:szCs w:val="24"/>
        </w:rPr>
      </w:pPr>
      <w:r w:rsidRPr="00285FA2">
        <w:rPr>
          <w:rFonts w:eastAsia="Times New Roman"/>
          <w:spacing w:val="-4"/>
          <w:sz w:val="24"/>
          <w:szCs w:val="24"/>
        </w:rPr>
        <w:t>g. Thực hiện các nhiệm vụ khác khi được Tổng Thanh tra giao.</w:t>
      </w:r>
    </w:p>
    <w:p w:rsidR="00D7535B" w:rsidRPr="00285FA2" w:rsidRDefault="00D7535B" w:rsidP="00D7535B">
      <w:pPr>
        <w:spacing w:after="0" w:line="300" w:lineRule="atLeast"/>
        <w:ind w:firstLine="432"/>
        <w:jc w:val="both"/>
        <w:rPr>
          <w:rFonts w:eastAsia="Times New Roman"/>
          <w:b/>
          <w:sz w:val="24"/>
          <w:szCs w:val="24"/>
        </w:rPr>
      </w:pPr>
      <w:r w:rsidRPr="00285FA2">
        <w:rPr>
          <w:rFonts w:eastAsia="Times New Roman"/>
          <w:b/>
          <w:sz w:val="24"/>
          <w:szCs w:val="24"/>
        </w:rPr>
        <w:t>Điều 3. Tổ chức và biên chế</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1. Cục Chống tham nhũng có Cục trưởng và các Phó Cục trưởng và các thanh tra viên.</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lastRenderedPageBreak/>
        <w:t>2. Tổ chức bộ máy của Cục Chống tham nhũng gồm:</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a- Văn phòng tổng hợp;</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b- Phòng theo dõi chống tham nhũng khối các bộ, ngành (gọi tắt là Phòng 1);</w:t>
      </w:r>
    </w:p>
    <w:p w:rsidR="00D7535B" w:rsidRPr="00285FA2" w:rsidRDefault="00D7535B" w:rsidP="00D7535B">
      <w:pPr>
        <w:spacing w:after="0" w:line="320" w:lineRule="atLeast"/>
        <w:ind w:firstLine="432"/>
        <w:jc w:val="both"/>
        <w:rPr>
          <w:rFonts w:eastAsia="Times New Roman"/>
          <w:sz w:val="24"/>
          <w:szCs w:val="24"/>
        </w:rPr>
      </w:pPr>
      <w:r w:rsidRPr="00285FA2">
        <w:rPr>
          <w:rFonts w:eastAsia="Times New Roman"/>
          <w:sz w:val="24"/>
          <w:szCs w:val="24"/>
        </w:rPr>
        <w:t>c- Phòng theo dõi chống tham nhũng khối địa phương khu vực phía Bắc (gọi tắt là Phòng 2);</w:t>
      </w:r>
    </w:p>
    <w:p w:rsidR="00D7535B" w:rsidRPr="00285FA2" w:rsidRDefault="00D7535B" w:rsidP="00D7535B">
      <w:pPr>
        <w:spacing w:after="0" w:line="320" w:lineRule="atLeast"/>
        <w:ind w:firstLine="432"/>
        <w:jc w:val="both"/>
        <w:rPr>
          <w:rFonts w:eastAsia="Times New Roman"/>
          <w:sz w:val="24"/>
          <w:szCs w:val="24"/>
        </w:rPr>
      </w:pPr>
      <w:r w:rsidRPr="00285FA2">
        <w:rPr>
          <w:rFonts w:eastAsia="Times New Roman"/>
          <w:sz w:val="24"/>
          <w:szCs w:val="24"/>
        </w:rPr>
        <w:t>d- Phòng theo dõi chống tham nhũng khối các địa phương khu vực miền Trung (gọi tắt là Phòng Nghiệp vụ 3);</w:t>
      </w:r>
    </w:p>
    <w:p w:rsidR="00D7535B" w:rsidRPr="00285FA2" w:rsidRDefault="00D7535B" w:rsidP="00D7535B">
      <w:pPr>
        <w:spacing w:after="0" w:line="320" w:lineRule="atLeast"/>
        <w:ind w:firstLine="432"/>
        <w:jc w:val="both"/>
        <w:rPr>
          <w:rFonts w:eastAsia="Times New Roman"/>
          <w:spacing w:val="-2"/>
          <w:sz w:val="24"/>
          <w:szCs w:val="24"/>
        </w:rPr>
      </w:pPr>
      <w:r w:rsidRPr="00285FA2">
        <w:rPr>
          <w:rFonts w:eastAsia="Times New Roman"/>
          <w:spacing w:val="-2"/>
          <w:sz w:val="24"/>
          <w:szCs w:val="24"/>
        </w:rPr>
        <w:t>e- Văn phòng đại diện tại Thành Phố Hồ Chí Minh (có con dấu riêng) theo dõi chống tham nhũng khu vực các tỉnh phía Nam.</w:t>
      </w:r>
    </w:p>
    <w:p w:rsidR="00D7535B" w:rsidRPr="00285FA2" w:rsidRDefault="00D7535B" w:rsidP="00D7535B">
      <w:pPr>
        <w:spacing w:after="0" w:line="320" w:lineRule="atLeast"/>
        <w:ind w:firstLine="432"/>
        <w:jc w:val="both"/>
        <w:rPr>
          <w:rFonts w:eastAsia="Times New Roman"/>
          <w:sz w:val="24"/>
          <w:szCs w:val="24"/>
        </w:rPr>
      </w:pPr>
      <w:r w:rsidRPr="00285FA2">
        <w:rPr>
          <w:rFonts w:eastAsia="Times New Roman"/>
          <w:sz w:val="24"/>
          <w:szCs w:val="24"/>
        </w:rPr>
        <w:t>3. Biên chế của Cục Chống tham nhũng do Tổng Thanh tra quyết định trong tổng số biên chế của Thanh tra Chính phủ.</w:t>
      </w:r>
    </w:p>
    <w:p w:rsidR="00D7535B" w:rsidRPr="00285FA2" w:rsidRDefault="00D7535B" w:rsidP="00D7535B">
      <w:pPr>
        <w:spacing w:after="0" w:line="300" w:lineRule="atLeast"/>
        <w:ind w:firstLine="432"/>
        <w:jc w:val="both"/>
        <w:rPr>
          <w:rFonts w:eastAsia="Times New Roman"/>
          <w:spacing w:val="-2"/>
          <w:sz w:val="24"/>
          <w:szCs w:val="24"/>
        </w:rPr>
      </w:pPr>
      <w:r w:rsidRPr="00285FA2">
        <w:rPr>
          <w:rFonts w:eastAsia="Times New Roman"/>
          <w:spacing w:val="-2"/>
          <w:sz w:val="24"/>
          <w:szCs w:val="24"/>
        </w:rPr>
        <w:t>4. Cục trưởng Cục Chống tham nhũng có trách nhiệm chỉ đạo xây dựng quy chế hoạt động của Cục trình Tổng Thanh tra duyệt.</w:t>
      </w:r>
    </w:p>
    <w:p w:rsidR="00D7535B" w:rsidRPr="00285FA2" w:rsidRDefault="00D7535B" w:rsidP="00D7535B">
      <w:pPr>
        <w:spacing w:after="0" w:line="300" w:lineRule="atLeast"/>
        <w:ind w:firstLine="432"/>
        <w:jc w:val="both"/>
        <w:rPr>
          <w:rFonts w:eastAsia="Times New Roman"/>
          <w:b/>
          <w:sz w:val="24"/>
          <w:szCs w:val="24"/>
        </w:rPr>
      </w:pPr>
      <w:r w:rsidRPr="00285FA2">
        <w:rPr>
          <w:rFonts w:eastAsia="Times New Roman"/>
          <w:b/>
          <w:sz w:val="24"/>
          <w:szCs w:val="24"/>
        </w:rPr>
        <w:t>Điều 4. Hiệu lực thi hành</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Quyết định này có hiệu lực kể từ ngày ký.</w:t>
      </w:r>
    </w:p>
    <w:p w:rsidR="00D7535B" w:rsidRPr="00285FA2" w:rsidRDefault="00D7535B" w:rsidP="00D7535B">
      <w:pPr>
        <w:spacing w:after="0" w:line="300" w:lineRule="atLeast"/>
        <w:ind w:firstLine="432"/>
        <w:jc w:val="both"/>
        <w:rPr>
          <w:rFonts w:eastAsia="Times New Roman"/>
          <w:b/>
          <w:sz w:val="24"/>
          <w:szCs w:val="24"/>
        </w:rPr>
      </w:pPr>
      <w:r w:rsidRPr="00285FA2">
        <w:rPr>
          <w:rFonts w:eastAsia="Times New Roman"/>
          <w:b/>
          <w:sz w:val="24"/>
          <w:szCs w:val="24"/>
        </w:rPr>
        <w:t>Điều 5. Trách nhiệm thi hành</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Chánh Văn phòng, Vụ trưởng Vụ Tổ chức cán bộ, Cục trưởng Cục Chống tham nhũng và Vụ trưởng, Thủ trưởng các đơn vị thuộc Thanh tra Chính phủ chịu trách nhiệm thi hành quyết định này.</w:t>
      </w:r>
    </w:p>
    <w:p w:rsidR="00D7535B" w:rsidRPr="00285FA2" w:rsidRDefault="00D7535B" w:rsidP="00D7535B">
      <w:pPr>
        <w:spacing w:after="0" w:line="300" w:lineRule="atLeast"/>
        <w:ind w:firstLine="432"/>
        <w:jc w:val="both"/>
        <w:rPr>
          <w:rFonts w:eastAsia="Times New Roman"/>
          <w:sz w:val="24"/>
          <w:szCs w:val="24"/>
        </w:rPr>
      </w:pP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t xml:space="preserve">   </w:t>
      </w:r>
    </w:p>
    <w:p w:rsidR="00D7535B" w:rsidRPr="00285FA2" w:rsidRDefault="00D7535B" w:rsidP="00D7535B">
      <w:pPr>
        <w:spacing w:after="0" w:line="300" w:lineRule="atLeast"/>
        <w:ind w:firstLine="432"/>
        <w:jc w:val="both"/>
        <w:rPr>
          <w:rFonts w:eastAsia="Times New Roman"/>
          <w:b/>
          <w:sz w:val="24"/>
          <w:szCs w:val="24"/>
        </w:rPr>
      </w:pP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t xml:space="preserve">         </w:t>
      </w:r>
      <w:r w:rsidRPr="00285FA2">
        <w:rPr>
          <w:rFonts w:eastAsia="Times New Roman"/>
          <w:b/>
          <w:sz w:val="24"/>
          <w:szCs w:val="24"/>
        </w:rPr>
        <w:t>TỔNG THANH TRA</w:t>
      </w:r>
    </w:p>
    <w:p w:rsidR="00D7535B" w:rsidRPr="00285FA2" w:rsidRDefault="00D7535B" w:rsidP="00D7535B">
      <w:pPr>
        <w:spacing w:before="120" w:after="0" w:line="300" w:lineRule="atLeast"/>
        <w:ind w:firstLine="432"/>
        <w:jc w:val="both"/>
        <w:rPr>
          <w:rFonts w:eastAsia="Times New Roman"/>
          <w:b/>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TRẦN VĂN TRUYỀN</w:t>
      </w:r>
      <w:r w:rsidRPr="00285FA2">
        <w:rPr>
          <w:rFonts w:eastAsia="Times New Roman"/>
          <w:b/>
          <w:sz w:val="24"/>
          <w:szCs w:val="24"/>
        </w:rPr>
        <w:tab/>
      </w:r>
    </w:p>
    <w:p w:rsidR="00D7535B" w:rsidRPr="00285FA2" w:rsidRDefault="00D7535B" w:rsidP="00D7535B">
      <w:pPr>
        <w:spacing w:after="0" w:line="300" w:lineRule="exact"/>
        <w:ind w:firstLine="432"/>
        <w:rPr>
          <w:rFonts w:eastAsia="Times New Roman"/>
          <w:color w:val="000000"/>
          <w:sz w:val="24"/>
          <w:szCs w:val="24"/>
        </w:rPr>
      </w:pP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D7535B"/>
    <w:rsid w:val="00123D43"/>
    <w:rsid w:val="003505D2"/>
    <w:rsid w:val="00512589"/>
    <w:rsid w:val="00582ABF"/>
    <w:rsid w:val="00877FDD"/>
    <w:rsid w:val="00AF65FE"/>
    <w:rsid w:val="00BE73E9"/>
    <w:rsid w:val="00D7535B"/>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5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2012-05-02T11:20:00Z</dcterms:created>
  <dcterms:modified xsi:type="dcterms:W3CDTF">2012-05-02T11:20:00Z</dcterms:modified>
</cp:coreProperties>
</file>