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41" w:rsidRPr="00285FA2" w:rsidRDefault="00462A41" w:rsidP="00462A41">
      <w:pPr>
        <w:spacing w:before="120" w:after="0" w:line="360" w:lineRule="exact"/>
        <w:jc w:val="center"/>
        <w:rPr>
          <w:rFonts w:eastAsia="Times New Roman"/>
          <w:b/>
          <w:sz w:val="26"/>
          <w:szCs w:val="26"/>
          <w:lang w:val="fr-FR"/>
        </w:rPr>
      </w:pPr>
      <w:r w:rsidRPr="00285FA2">
        <w:rPr>
          <w:rFonts w:eastAsia="Times New Roman"/>
          <w:b/>
          <w:sz w:val="26"/>
          <w:szCs w:val="26"/>
          <w:lang w:val="fr-FR"/>
        </w:rPr>
        <w:t xml:space="preserve">CHỈ THỊ </w:t>
      </w:r>
    </w:p>
    <w:p w:rsidR="00462A41" w:rsidRPr="00285FA2" w:rsidRDefault="00462A41" w:rsidP="00462A41">
      <w:pPr>
        <w:spacing w:after="0" w:line="360" w:lineRule="exact"/>
        <w:jc w:val="center"/>
        <w:rPr>
          <w:rFonts w:eastAsia="Times New Roman"/>
          <w:b/>
          <w:sz w:val="26"/>
          <w:szCs w:val="26"/>
          <w:lang w:val="fr-FR"/>
        </w:rPr>
      </w:pPr>
      <w:r w:rsidRPr="00285FA2">
        <w:rPr>
          <w:rFonts w:eastAsia="Times New Roman"/>
          <w:b/>
          <w:sz w:val="26"/>
          <w:szCs w:val="26"/>
          <w:lang w:val="fr-FR"/>
        </w:rPr>
        <w:t>SỐ 20/2007/CT-TTG, NGÀY 24 THÁNG 08 NĂM 2007 CỦA THỦ TƯỚNG CHÍNH PHỦ</w:t>
      </w:r>
    </w:p>
    <w:p w:rsidR="00462A41" w:rsidRPr="00285FA2" w:rsidRDefault="00462A41" w:rsidP="00462A41">
      <w:pPr>
        <w:spacing w:after="0" w:line="360" w:lineRule="exact"/>
        <w:jc w:val="center"/>
        <w:rPr>
          <w:rFonts w:eastAsia="Times New Roman"/>
          <w:sz w:val="24"/>
          <w:szCs w:val="24"/>
        </w:rPr>
      </w:pPr>
      <w:r w:rsidRPr="00285FA2">
        <w:rPr>
          <w:rFonts w:eastAsia="Times New Roman"/>
          <w:b/>
          <w:bCs/>
          <w:sz w:val="24"/>
          <w:szCs w:val="24"/>
        </w:rPr>
        <w:t>về việc trả lương qua tài khoản</w:t>
      </w:r>
    </w:p>
    <w:p w:rsidR="00462A41" w:rsidRPr="00285FA2" w:rsidRDefault="00462A41" w:rsidP="00462A41">
      <w:pPr>
        <w:spacing w:after="0" w:line="360" w:lineRule="exact"/>
        <w:jc w:val="center"/>
        <w:rPr>
          <w:rFonts w:eastAsia="Times New Roman"/>
          <w:sz w:val="24"/>
          <w:szCs w:val="24"/>
        </w:rPr>
      </w:pPr>
      <w:r w:rsidRPr="00285FA2">
        <w:rPr>
          <w:rFonts w:eastAsia="Times New Roman"/>
          <w:b/>
          <w:bCs/>
          <w:sz w:val="24"/>
          <w:szCs w:val="24"/>
        </w:rPr>
        <w:t>cho các đối tượng hưởng lương từ ngân sách Nhà nước</w:t>
      </w:r>
    </w:p>
    <w:p w:rsidR="00462A41" w:rsidRPr="00285FA2" w:rsidRDefault="00462A41" w:rsidP="00462A41">
      <w:pPr>
        <w:spacing w:before="360" w:after="0" w:line="320" w:lineRule="exact"/>
        <w:ind w:firstLine="432"/>
        <w:jc w:val="both"/>
        <w:rPr>
          <w:rFonts w:eastAsia="Times New Roman"/>
          <w:sz w:val="24"/>
          <w:szCs w:val="24"/>
        </w:rPr>
      </w:pPr>
      <w:r w:rsidRPr="00285FA2">
        <w:rPr>
          <w:rFonts w:eastAsia="Times New Roman"/>
          <w:sz w:val="24"/>
          <w:szCs w:val="24"/>
        </w:rPr>
        <w:t> Thực hiện Nghị quyết Hội nghị lần thứ ba Ban Chấp hành Trung ương Đảng khóa X về tăng cường sự lãnh đạo của Đảng đối với công tác phòng, chống tham nhũng, lãng phí; Luật Phòng, chống tham nhũng và triển khai Đề án thanh toán không dùng tiền mặt giai đoạn 2006 - 2010 và định hướng đến năm 2020 đã được Thủ tướng Chính phủ phê duyệt theo Quyết định số 291/2006/QĐ-TTg, ngày 29 tháng 12 năm 2006, Thủ tướng Chính phủ yêu cầu:</w:t>
      </w:r>
    </w:p>
    <w:p w:rsidR="00462A41" w:rsidRPr="00285FA2" w:rsidRDefault="00462A41" w:rsidP="00462A41">
      <w:pPr>
        <w:spacing w:after="0" w:line="320" w:lineRule="exact"/>
        <w:ind w:firstLine="432"/>
        <w:jc w:val="both"/>
        <w:rPr>
          <w:rFonts w:eastAsia="Times New Roman"/>
          <w:spacing w:val="2"/>
          <w:sz w:val="24"/>
          <w:szCs w:val="24"/>
        </w:rPr>
      </w:pPr>
      <w:r w:rsidRPr="00285FA2">
        <w:rPr>
          <w:rFonts w:eastAsia="Times New Roman"/>
          <w:b/>
          <w:bCs/>
          <w:spacing w:val="2"/>
          <w:sz w:val="24"/>
          <w:szCs w:val="24"/>
        </w:rPr>
        <w:t>1. Các Bộ, cơ quan ngang Bộ, cơ quan trực thuộc Chính phủ, Ủy ban nhân dân các tỉnh, thành phố trực thuộc Trung ương:</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sz w:val="24"/>
          <w:szCs w:val="24"/>
        </w:rPr>
        <w:t xml:space="preserve">a) Tiếp tục phối hợp với Ngân hàng Nhà nước Việt Nam và các tổ chức cung ứng dịch vụ thanh toán triển khai và mở rộng việc trả lương qua tài khoản cho các đối tượng sau: </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sz w:val="24"/>
          <w:szCs w:val="24"/>
        </w:rPr>
        <w:t>- Cán bộ, công chức, viên chức thuộc các cơ quan hành chính, đơn vị sự nghiệp, tổ chức chính trị, tổ chức chính trị - xã hội hưởng lương từ ngân sách Nhà nước;</w:t>
      </w:r>
    </w:p>
    <w:p w:rsidR="00462A41" w:rsidRPr="00285FA2" w:rsidRDefault="00462A41" w:rsidP="00462A41">
      <w:pPr>
        <w:spacing w:after="0" w:line="320" w:lineRule="exact"/>
        <w:ind w:firstLine="432"/>
        <w:jc w:val="both"/>
        <w:rPr>
          <w:rFonts w:eastAsia="Times New Roman"/>
          <w:spacing w:val="-2"/>
          <w:sz w:val="24"/>
          <w:szCs w:val="24"/>
        </w:rPr>
      </w:pPr>
      <w:r w:rsidRPr="00285FA2">
        <w:rPr>
          <w:rFonts w:eastAsia="Times New Roman"/>
          <w:spacing w:val="-2"/>
          <w:sz w:val="24"/>
          <w:szCs w:val="24"/>
        </w:rPr>
        <w:t>- Sĩ quan, hạ sĩ quan, quân nhân chuyên nghiệp, công nhân quốc phòng, công nhân và lao động theo hợp đồng lao động thuộc lực lượng vũ trang thuộc Bộ Quốc phòng và Bộ Công an (các lực lượng thuộc danh mục Mật, Tuyệt mật và Tối mật theo quy định của danh mục bí mật quốc gia sẽ thực hiện việc trả lương theo hình thức thích hợp; các đối tượng công tác ở vùng sâu, vùng xa, biên giới, hải đảo sẽ thực hiện khi điều kiện cho phép);</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 Các đối tượng khác hưởng lương từ ngân sách Nhà nước.</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sz w:val="24"/>
          <w:szCs w:val="24"/>
        </w:rPr>
        <w:t>b) Từ ngày 01 tháng 01 năm 2008 tập trung chỉ đạo các đơn vị trực thuộc và cấp dưới chủ động phối hợp với các tổ chức cung ứng dịch vụ thanh toán tiếp tục triển khai và mở rộng việc trả lương qua tài khoản cho các đối tượng đã nêu ở điểm (a) làm việc trong các cơ quan trung ương, các cơ quan, đơn vị thuộc Ủy ban nhân dân các cấp tại thành phố Hà Nội, thành phố Hồ Chí Minh và một số tỉnh, thành phố, thị xã, khu chế xuất, khu công nghiệp tập trung đã và đang triển khai;</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sz w:val="24"/>
          <w:szCs w:val="24"/>
        </w:rPr>
        <w:t>c) Từ ngày 01 tháng 01 năm 2009 tiếp tục mở rộng thực hiện việc trả lương qua tài khoản cho các đối tượng đã nêu ở điểm (a) ở những đơn vị chưa triển khai trên phạm vi cả nước, nơi mà các tổ chức cung ứng dịch vụ thanh toán có khả năng đáp ứng việc trả lương qua tài khoản;</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sz w:val="24"/>
          <w:szCs w:val="24"/>
        </w:rPr>
        <w:t>d) Định kỳ 6 tháng và hàng năm báo cáo kết quả thực hiện Chỉ thị về Ngân hàng Nhà nước Việt Nam để tổng hợp báo cáo Thủ tướng Chính phủ.</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b/>
          <w:bCs/>
          <w:sz w:val="24"/>
          <w:szCs w:val="24"/>
        </w:rPr>
        <w:t>2. Ngân hàng Nhà nước Việt Nam:</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sz w:val="24"/>
          <w:szCs w:val="24"/>
        </w:rPr>
        <w:t>a) Đẩy mạnh tiến độ triển khai giai đoạn 2 của Dự án hiện đại hóa ngân hàng và hệ thống thanh toán nhằm phát triển hệ thống thanh toán quốc gia. Trực tiếp xây dựng, triển khai và chủ trì, phối hợp với các Bộ, ngành, địa phương, các tổ chức cung ứng dịch vụ thanh toán thực hiện các đề án thành phần theo lộ trình đã được xây dựng trong Đề án thanh toán không dùng tiền mặt giai đoạn 2006 - 2010 và định hướng đến năm 2020;</w:t>
      </w:r>
    </w:p>
    <w:p w:rsidR="00462A41" w:rsidRPr="00285FA2" w:rsidRDefault="00462A41" w:rsidP="00462A41">
      <w:pPr>
        <w:spacing w:after="0" w:line="290" w:lineRule="exact"/>
        <w:ind w:firstLine="432"/>
        <w:jc w:val="both"/>
        <w:rPr>
          <w:rFonts w:eastAsia="Times New Roman"/>
          <w:sz w:val="24"/>
          <w:szCs w:val="24"/>
        </w:rPr>
      </w:pPr>
      <w:r w:rsidRPr="00285FA2">
        <w:rPr>
          <w:rFonts w:eastAsia="Times New Roman"/>
          <w:sz w:val="24"/>
          <w:szCs w:val="24"/>
        </w:rPr>
        <w:t>b) Bổ sung và hoàn chỉnh bộ máy quản lý Nhà nước về hoạt động thanh toán để củng cố môi trường pháp lý và cơ chế chính sách thanh toán đảm bảo quản lý, vận hành, giám sát các hệ thống thanh toán trong nền kinh tế một cách an toàn và hiệu quả;</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 xml:space="preserve">c) Xây dựng các tiêu chuẩn chung về công nghệ thanh toán để đảm bảo kết nối các hoạt động liên quan đến việc triển khai các phương tiện thanh toán không dùng tiền mặt giữa các </w:t>
      </w:r>
      <w:r w:rsidRPr="00285FA2">
        <w:rPr>
          <w:rFonts w:eastAsia="Times New Roman"/>
          <w:sz w:val="24"/>
          <w:szCs w:val="24"/>
        </w:rPr>
        <w:lastRenderedPageBreak/>
        <w:t>tổ chức cung ứng dịch vụ thanh toán với các nhà cung cấp các dịch vụ hỗ trợ thanh toán không dùng tiền mặt và giữa các tổ chức cung ứng dịch vụ thanh toán với nhau được hiệu quả và an toàn;</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d) Định hướng, phối hợp cùng các tổ chức cung ứng dịch vụ thanh toán tiếp tục mở rộng cung cấp, hướng dẫn sử dụng các dịch vụ trả lương qua tài khoản, gắn kết chặt chẽ việc sử dụng các phương tiện thanh toán có ứng dụng thành tựu phát triển công nghệ thông tin với các phương tiện thanh toán truyền thống; quy định rõ trách nhiệm của các bên cung ứng và sử dụng dịch vụ, bảo vệ quyền lợi của người sử dụng dịch vụ; đa dạng hóa các dịch vụ thanh toán; đầu tư phát triển công nghệ, cơ sở hạ tầng dịch vụ thanh toán không dùng tiền mặt;</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sz w:val="24"/>
          <w:szCs w:val="24"/>
        </w:rPr>
        <w:t>đ) Là đơn vị đầu mối triển khai, tổng hợp tình hình thực hiện Chỉ thị báo cáo Thủ tướng Chính phủ định kỳ 6 tháng, hàng năm; tổ chức sơ kết thực hiện vào cuối năm 2009 và tổng kết vào cuối năm 2010.</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b/>
          <w:bCs/>
          <w:sz w:val="24"/>
          <w:szCs w:val="24"/>
        </w:rPr>
        <w:t>3. Bộ Tài chính:</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a) Chỉ đạo, hướng dẫn các đơn vị trực thuộc và Kho bạc Nhà nước phối hợp chặt chẽ với Ngân hàng Nhà nước và các tổ chức cung ứng dịch vụ thanh toán triển khai thực hiện nghiêm túc việc trả lương qua tài khoản cho các đối tượng đã nêu ở mục 1;</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b) Tham mưu xây dựng các chính sách thuế phù hợp theo hướng tạo điều kiện thuận lợi cho các tổ chức cung ứng dịch vụ thanh toán mở rộng dịch vụ trả lương qua tài khoản và phát triển các dịch vụ thanh toán không dùng tiền mặt khác.</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b/>
          <w:bCs/>
          <w:sz w:val="24"/>
          <w:szCs w:val="24"/>
        </w:rPr>
        <w:t>4. Bộ Lao động - Thương binh và Xã hội:</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sz w:val="24"/>
          <w:szCs w:val="24"/>
        </w:rPr>
        <w:t>Nghiên cứu đề xuất với Chính phủ trình Quốc hội sửa đổi, bổ sung các điều khoản quy định về trả lương cho người lao động trong Bộ luật Lao động cho phù hợp với tình hình thực tế hiện nay, khuyến khích và tạo hành lang pháp lý cho hoạt động trả lương qua tài khoản đối với các đối tượng hưởng lương từ ngân sách Nhà nước.</w:t>
      </w:r>
    </w:p>
    <w:p w:rsidR="00462A41" w:rsidRPr="00285FA2" w:rsidRDefault="00462A41" w:rsidP="00462A41">
      <w:pPr>
        <w:spacing w:after="0" w:line="300" w:lineRule="exact"/>
        <w:ind w:firstLine="432"/>
        <w:jc w:val="both"/>
        <w:rPr>
          <w:rFonts w:eastAsia="Times New Roman"/>
          <w:sz w:val="24"/>
          <w:szCs w:val="24"/>
        </w:rPr>
      </w:pPr>
      <w:r w:rsidRPr="00285FA2">
        <w:rPr>
          <w:rFonts w:eastAsia="Times New Roman"/>
          <w:b/>
          <w:bCs/>
          <w:sz w:val="24"/>
          <w:szCs w:val="24"/>
        </w:rPr>
        <w:t>5. Bộ Thông tin và Truyền thông:</w:t>
      </w:r>
    </w:p>
    <w:p w:rsidR="00462A41" w:rsidRPr="00285FA2" w:rsidRDefault="00462A41" w:rsidP="00462A41">
      <w:pPr>
        <w:spacing w:after="0" w:line="320" w:lineRule="exact"/>
        <w:ind w:firstLine="432"/>
        <w:jc w:val="both"/>
        <w:rPr>
          <w:rFonts w:eastAsia="Times New Roman"/>
          <w:spacing w:val="-2"/>
          <w:sz w:val="24"/>
          <w:szCs w:val="24"/>
        </w:rPr>
      </w:pPr>
      <w:r w:rsidRPr="00285FA2">
        <w:rPr>
          <w:rFonts w:eastAsia="Times New Roman"/>
          <w:spacing w:val="-2"/>
          <w:sz w:val="24"/>
          <w:szCs w:val="24"/>
        </w:rPr>
        <w:t>Quản lý, giám sát và phát triển cơ sở hạ tầng kỹ thuật viễn thông nhằm đảm bảo các đường truyền thông tin ổn định, thông suốt và có tính bảo mật để phục vụ hoạt động thanh toán không dùng tiền mặt nói chung và việc trả lương qua tài khoản nói riêng.</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b/>
          <w:bCs/>
          <w:sz w:val="24"/>
          <w:szCs w:val="24"/>
        </w:rPr>
        <w:t>6. Bộ Văn hóa, Thể thao và Du lịch:</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sz w:val="24"/>
          <w:szCs w:val="24"/>
        </w:rPr>
        <w:t>Chủ trì, phối hợp với Ngân hàng Nhà nước Việt Nam và các Bộ, ngành, Ủy ban nhân dân các tỉnh, thành phố trực thuộc Trung ương chỉ đạo tổ chức công tác thông tin, tuyên truyền, phổ biến rộng rãi các kiến thức về lợi ích và cách thức tiến hành mở, sử dụng tài khoản, sử dụng các phương tiện thanh toán không dùng tiền mặt.</w:t>
      </w:r>
    </w:p>
    <w:p w:rsidR="00462A41" w:rsidRPr="00285FA2" w:rsidRDefault="00462A41" w:rsidP="00462A41">
      <w:pPr>
        <w:spacing w:after="0" w:line="320" w:lineRule="exact"/>
        <w:ind w:firstLine="432"/>
        <w:jc w:val="both"/>
        <w:rPr>
          <w:rFonts w:eastAsia="Times New Roman"/>
          <w:sz w:val="24"/>
          <w:szCs w:val="24"/>
        </w:rPr>
      </w:pPr>
      <w:r w:rsidRPr="00285FA2">
        <w:rPr>
          <w:rFonts w:eastAsia="Times New Roman"/>
          <w:b/>
          <w:bCs/>
          <w:sz w:val="24"/>
          <w:szCs w:val="24"/>
        </w:rPr>
        <w:t>7. Các cơ quan thông tấn, báo chí:</w:t>
      </w:r>
    </w:p>
    <w:p w:rsidR="00462A41" w:rsidRPr="00285FA2" w:rsidRDefault="00462A41" w:rsidP="00462A41">
      <w:pPr>
        <w:spacing w:after="0" w:line="320" w:lineRule="exact"/>
        <w:ind w:firstLine="432"/>
        <w:jc w:val="both"/>
        <w:rPr>
          <w:rFonts w:eastAsia="Times New Roman"/>
          <w:spacing w:val="-4"/>
          <w:sz w:val="24"/>
          <w:szCs w:val="24"/>
        </w:rPr>
      </w:pPr>
      <w:r w:rsidRPr="00285FA2">
        <w:rPr>
          <w:rFonts w:eastAsia="Times New Roman"/>
          <w:spacing w:val="-4"/>
          <w:sz w:val="24"/>
          <w:szCs w:val="24"/>
        </w:rPr>
        <w:t>Các cơ quan thông tấn, báo chí các cấp từ Trung ương đến địa phương, đặc biệt Đài Truyền hình Việt Nam, Đài Tiếng nói Việt Nam chọn thời điểm và dành thời gian phát sóng phù hợp để tuyên truyền sự cần thiết và lợi ích của việc trả lương qua tài khoản trên cơ sở sử dụng các phương tiện thanh toán không dùng tiền mặt.</w:t>
      </w:r>
    </w:p>
    <w:p w:rsidR="00462A41" w:rsidRPr="00285FA2" w:rsidRDefault="00462A41" w:rsidP="00462A41">
      <w:pPr>
        <w:spacing w:after="0" w:line="320" w:lineRule="exact"/>
        <w:ind w:firstLine="432"/>
        <w:jc w:val="both"/>
        <w:rPr>
          <w:rFonts w:eastAsia="Times New Roman"/>
          <w:spacing w:val="-2"/>
          <w:sz w:val="24"/>
          <w:szCs w:val="24"/>
        </w:rPr>
      </w:pPr>
      <w:r w:rsidRPr="00285FA2">
        <w:rPr>
          <w:rFonts w:eastAsia="Times New Roman"/>
          <w:spacing w:val="-2"/>
          <w:sz w:val="24"/>
          <w:szCs w:val="24"/>
        </w:rPr>
        <w:t>Các Bộ trưởng, Thủ trưởng cơ quan ngang Bộ, Thủ trưởng cơ quan thuộc Chính phủ, Chủ tịch Ủy ban nhân dân các tỉnh, thành phố trực thuộc Trung ương chịu trách nhiệm thi hành Chỉ thị này.</w:t>
      </w:r>
    </w:p>
    <w:p w:rsidR="00462A41" w:rsidRPr="00285FA2" w:rsidRDefault="00462A41" w:rsidP="00462A41">
      <w:pPr>
        <w:spacing w:after="0" w:line="300" w:lineRule="exact"/>
        <w:ind w:firstLine="432"/>
        <w:jc w:val="center"/>
        <w:rPr>
          <w:rFonts w:eastAsia="Times New Roman"/>
          <w:b/>
          <w:bCs/>
          <w:sz w:val="24"/>
          <w:szCs w:val="24"/>
        </w:rPr>
      </w:pP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t xml:space="preserve">    </w:t>
      </w:r>
    </w:p>
    <w:p w:rsidR="00462A41" w:rsidRPr="00285FA2" w:rsidRDefault="00462A41" w:rsidP="00462A41">
      <w:pPr>
        <w:spacing w:after="0" w:line="300" w:lineRule="exact"/>
        <w:ind w:firstLine="432"/>
        <w:jc w:val="center"/>
        <w:rPr>
          <w:rFonts w:eastAsia="Times New Roman"/>
          <w:b/>
          <w:sz w:val="24"/>
          <w:szCs w:val="24"/>
        </w:rPr>
      </w:pP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r>
      <w:r w:rsidRPr="00285FA2">
        <w:rPr>
          <w:rFonts w:eastAsia="Times New Roman"/>
          <w:b/>
          <w:sz w:val="24"/>
          <w:szCs w:val="24"/>
        </w:rPr>
        <w:t>T/M. CHÍNH PHỦ</w:t>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Thủ tướng</w:t>
      </w:r>
    </w:p>
    <w:p w:rsidR="00123D43" w:rsidRDefault="00462A41" w:rsidP="00462A41">
      <w:r w:rsidRPr="00285FA2">
        <w:rPr>
          <w:rFonts w:eastAsia="Times New Roman"/>
          <w:sz w:val="24"/>
          <w:szCs w:val="24"/>
        </w:rPr>
        <w:t> </w:t>
      </w:r>
      <w:r w:rsidRPr="00285FA2">
        <w:rPr>
          <w:rFonts w:eastAsia="Times New Roman"/>
          <w:sz w:val="24"/>
          <w:szCs w:val="24"/>
        </w:rPr>
        <w:tab/>
      </w:r>
      <w:r w:rsidRPr="00285FA2">
        <w:rPr>
          <w:rFonts w:eastAsia="Times New Roman"/>
          <w:sz w:val="24"/>
          <w:szCs w:val="24"/>
        </w:rPr>
        <w:tab/>
      </w:r>
      <w:r w:rsidRPr="00285FA2">
        <w:rPr>
          <w:rFonts w:eastAsia="Times New Roman"/>
          <w:sz w:val="24"/>
          <w:szCs w:val="24"/>
        </w:rPr>
        <w:tab/>
        <w:t xml:space="preserve">   </w:t>
      </w:r>
      <w:r w:rsidRPr="00285FA2">
        <w:rPr>
          <w:rFonts w:eastAsia="Times New Roman"/>
          <w:sz w:val="24"/>
          <w:szCs w:val="24"/>
        </w:rPr>
        <w:tab/>
        <w:t xml:space="preserve">             </w:t>
      </w:r>
      <w:r w:rsidRPr="00285FA2">
        <w:rPr>
          <w:rFonts w:eastAsia="Times New Roman"/>
          <w:b/>
          <w:bCs/>
          <w:sz w:val="24"/>
          <w:szCs w:val="24"/>
        </w:rPr>
        <w:t>NGUYỄN TẤN DŨNG</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462A41"/>
    <w:rsid w:val="00123D43"/>
    <w:rsid w:val="003505D2"/>
    <w:rsid w:val="00462A41"/>
    <w:rsid w:val="00512589"/>
    <w:rsid w:val="00582ABF"/>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4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2012-05-02T11:06:00Z</dcterms:created>
  <dcterms:modified xsi:type="dcterms:W3CDTF">2012-05-02T11:06:00Z</dcterms:modified>
</cp:coreProperties>
</file>